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471818670"/>
      <w:r/>
      <w:bookmarkStart w:id="5" w:name="_Toc6348"/>
      <w:r/>
      <w:bookmarkStart w:id="6" w:name="_Toc51779337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40"/>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941"/>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941"/>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rPr>
      </w:pPr>
      <w:r>
        <w:rPr>
          <w:rFonts w:hint="eastAsia"/>
        </w:rPr>
        <w:t xml:space="preserve">项目名称：</w:t>
      </w:r>
      <w:r>
        <w:rPr>
          <w:rFonts w:hint="eastAsia" w:ascii="Times New Roman" w:hAnsi="Times New Roman"/>
          <w:bCs/>
          <w:color w:val="000000"/>
          <w:sz w:val="28"/>
          <w:szCs w:val="28"/>
        </w:rPr>
        <w:t xml:space="preserve">常州市金坛区教育城域网运维升级服务</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rPr>
        <w:t xml:space="preserve">项目编号：</w:t>
      </w:r>
      <w:r>
        <w:rPr>
          <w:rFonts w:ascii="Times New Roman" w:hAnsi="Times New Roman" w:eastAsia="宋体" w:cs="Times New Roman"/>
          <w:bCs/>
          <w:color w:val="000000"/>
          <w:sz w:val="28"/>
          <w:szCs w:val="28"/>
        </w:rPr>
        <w:t xml:space="preserve">JSZC-320413-JZCG-G2026-00</w:t>
      </w:r>
      <w:r>
        <w:rPr>
          <w:rFonts w:hint="eastAsia" w:ascii="Times New Roman" w:hAnsi="Times New Roman" w:cs="Times New Roman"/>
          <w:bCs/>
          <w:color w:val="000000"/>
          <w:sz w:val="28"/>
          <w:szCs w:val="28"/>
          <w:lang w:val="en-US" w:eastAsia="zh-CN"/>
        </w:rPr>
        <w:t xml:space="preserve">22</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hAnsi="Times New Roman"/>
          <w:bCs/>
          <w:color w:val="000000"/>
          <w:sz w:val="28"/>
          <w:szCs w:val="28"/>
        </w:rPr>
        <w:t xml:space="preserve">常州市金坛区教育基本建设与装备管理中心</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940"/>
        <w:ind w:firstLine="4216"/>
        <w:jc w:val="both"/>
        <w:rPr>
          <w:rFonts w:hint="eastAsia" w:ascii="黑体" w:hAnsi="黑体" w:eastAsia="黑体" w:cs="黑体"/>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98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p>
    <w:p>
      <w:pPr>
        <w:pStyle w:val="98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98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987"/>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98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987"/>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98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987"/>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987"/>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3337"/>
      <w:r/>
      <w:bookmarkStart w:id="9" w:name="_Toc16555"/>
      <w:r/>
      <w:bookmarkStart w:id="10" w:name="_Toc548"/>
      <w:r/>
      <w:bookmarkStart w:id="11" w:name="_Toc16103"/>
      <w:r/>
      <w:bookmarkStart w:id="12" w:name="_Toc20084"/>
      <w:r/>
      <w:bookmarkStart w:id="13" w:name="_Toc572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41"/>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942"/>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w:t>
      </w:r>
      <w:r>
        <w:rPr>
          <w:rFonts w:hint="eastAsia" w:ascii="宋体" w:hAnsi="宋体" w:cs="宋体"/>
          <w:b/>
          <w:bCs/>
          <w:color w:val="1d41d5"/>
          <w:spacing w:val="8"/>
          <w:sz w:val="28"/>
          <w:szCs w:val="28"/>
          <w:u w:val="single"/>
          <w:lang w:val="en-US" w:eastAsia="zh-CN"/>
        </w:rPr>
        <w:t xml:space="preserve">22</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常州市金坛区教育城域网运维升级服务</w:t>
      </w:r>
      <w:r>
        <w:rPr>
          <w:rFonts w:hint="eastAsia" w:ascii="宋体" w:hAnsi="宋体" w:eastAsia="宋体" w:cs="宋体"/>
          <w:color w:val="333333"/>
          <w:spacing w:val="8"/>
          <w:sz w:val="28"/>
          <w:szCs w:val="28"/>
          <w:lang w:val="en-US" w:eastAsia="zh-CN"/>
        </w:rPr>
        <w:t xml:space="preserve">                                                                          </w:t>
      </w:r>
      <w:r/>
    </w:p>
    <w:p>
      <w:pPr>
        <w:ind w:left="2632" w:hanging="207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570万元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570万元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rPr>
          <w:rFonts w:hint="eastAsia" w:ascii="宋体" w:hAnsi="宋体" w:cs="宋体"/>
          <w:color w:val="333333"/>
          <w:spacing w:val="8"/>
          <w:sz w:val="28"/>
          <w:szCs w:val="28"/>
          <w:lang w:val="en-US" w:eastAsia="zh-CN"/>
        </w:rPr>
        <w:t xml:space="preserve">：</w:t>
      </w:r>
      <w:r/>
    </w:p>
    <w:tbl>
      <w:tblPr>
        <w:tblStyle w:val="945"/>
        <w:tblW w:w="9390"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900"/>
        <w:gridCol w:w="1005"/>
        <w:gridCol w:w="2430"/>
        <w:gridCol w:w="1275"/>
      </w:tblGrid>
      <w:tr>
        <w:trPr>
          <w:trHeight w:val="1088"/>
        </w:trPr>
        <w:tc>
          <w:tcPr>
            <w:tcW w:w="3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100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单位</w:t>
            </w:r>
            <w:r/>
          </w:p>
        </w:tc>
        <w:tc>
          <w:tcPr>
            <w:tcW w:w="243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12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备注</w:t>
            </w:r>
            <w:r/>
          </w:p>
        </w:tc>
      </w:tr>
      <w:tr>
        <w:trPr>
          <w:trHeight w:val="1053"/>
        </w:trPr>
        <w:tc>
          <w:tcPr>
            <w:tcW w:w="3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常州市金坛区教育城域网</w:t>
            </w:r>
            <w:r/>
          </w:p>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b w:val="0"/>
                <w:bCs/>
                <w:sz w:val="28"/>
                <w:szCs w:val="28"/>
                <w:lang w:val="en-US" w:eastAsia="zh-CN"/>
              </w:rPr>
              <w:t xml:space="preserve">运维升级服务</w:t>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1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val="0"/>
                <w:bCs/>
                <w:color w:val="000000"/>
                <w:sz w:val="28"/>
                <w:szCs w:val="28"/>
                <w:lang w:val="en-US" w:eastAsia="zh-CN"/>
              </w:rPr>
              <w:suppressLineNumbers w:val="0"/>
            </w:pPr>
            <w:r>
              <w:rPr>
                <w:rFonts w:hint="eastAsia" w:ascii="宋体" w:hAnsi="宋体" w:eastAsia="宋体" w:cs="宋体"/>
                <w:b w:val="0"/>
                <w:bCs/>
                <w:color w:val="000000"/>
                <w:sz w:val="28"/>
                <w:szCs w:val="28"/>
                <w:lang w:val="en-US" w:eastAsia="zh-CN"/>
              </w:rPr>
              <w:t xml:space="preserve">项</w:t>
            </w:r>
            <w:r/>
          </w:p>
        </w:tc>
        <w:tc>
          <w:tcPr>
            <w:tcW w:w="243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招标文件</w:t>
            </w:r>
            <w:r>
              <w:rPr>
                <w:rFonts w:hint="eastAsia" w:ascii="宋体" w:hAnsi="宋体" w:eastAsia="宋体" w:cs="宋体"/>
                <w:b w:val="0"/>
                <w:bCs/>
                <w:sz w:val="28"/>
                <w:szCs w:val="28"/>
                <w:lang w:eastAsia="zh-CN"/>
              </w:rPr>
              <w:t xml:space="preserve">。</w:t>
            </w:r>
            <w:r/>
          </w:p>
        </w:tc>
        <w:tc>
          <w:tcPr>
            <w:tcW w:w="12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 w:val="28"/>
          <w:szCs w:val="28"/>
          <w:u w:val="single"/>
          <w:lang w:val="en-US" w:eastAsia="zh-CN"/>
        </w:rPr>
        <w:t xml:space="preserve">本项目服务期限共三年，</w:t>
      </w:r>
      <w:r>
        <w:rPr>
          <w:rFonts w:hint="eastAsia" w:ascii="宋体" w:hAnsi="宋体" w:eastAsia="宋体" w:cs="宋体"/>
          <w:b/>
          <w:bCs/>
          <w:color w:val="1d41d5"/>
          <w:spacing w:val="8"/>
          <w:sz w:val="28"/>
          <w:szCs w:val="28"/>
          <w:u w:val="single"/>
          <w:lang w:val="en-US" w:eastAsia="zh-CN"/>
        </w:rPr>
        <w:t xml:space="preserve">具体时间</w:t>
      </w:r>
      <w:r>
        <w:rPr>
          <w:rFonts w:hint="eastAsia" w:ascii="宋体" w:hAnsi="宋体" w:cs="宋体"/>
          <w:b/>
          <w:bCs/>
          <w:color w:val="1d41d5"/>
          <w:spacing w:val="8"/>
          <w:sz w:val="28"/>
          <w:szCs w:val="28"/>
          <w:u w:val="single"/>
          <w:lang w:val="en-US" w:eastAsia="zh-CN"/>
        </w:rPr>
        <w:t xml:space="preserve">起始时间</w:t>
      </w:r>
      <w:r>
        <w:rPr>
          <w:rFonts w:hint="eastAsia" w:ascii="宋体" w:hAnsi="宋体" w:eastAsia="宋体" w:cs="宋体"/>
          <w:b/>
          <w:bCs/>
          <w:color w:val="1d41d5"/>
          <w:spacing w:val="8"/>
          <w:sz w:val="28"/>
          <w:szCs w:val="28"/>
          <w:u w:val="single"/>
          <w:lang w:val="en-US" w:eastAsia="zh-CN"/>
        </w:rPr>
        <w:t xml:space="preserve">以合同签订为准。</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942"/>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Cs w:val="28"/>
          <w:u w:val="single"/>
          <w:lang w:val="en-US" w:eastAsia="zh-CN"/>
        </w:rPr>
        <w:t xml:space="preserve">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须具有完成本项目信号和数据传输必需的通信线路资源以及范围内铺设必要的光缆和线路的许可和能力（银行、保险、石油石化、电力、电信等行业有特殊情况的，可以由其法人分支机构参加投标）。</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942"/>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942"/>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625"/>
      <w:r/>
      <w:bookmarkStart w:id="17" w:name="_Toc28359007"/>
      <w:r/>
      <w:bookmarkStart w:id="18" w:name="_Toc28359084"/>
      <w:r/>
      <w:bookmarkStart w:id="19" w:name="_Toc3539379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22</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942"/>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942"/>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942"/>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常州市金坛区教育基本建设与装备管理中心</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盛先生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w:t>
      </w:r>
      <w:r>
        <w:rPr>
          <w:rFonts w:hint="eastAsia" w:ascii="宋体" w:hAnsi="宋体" w:cs="宋体"/>
          <w:b w:val="0"/>
          <w:bCs w:val="0"/>
          <w:color w:val="1d41d5"/>
          <w:spacing w:val="8"/>
          <w:sz w:val="28"/>
          <w:szCs w:val="28"/>
          <w:u w:val="single"/>
          <w:lang w:val="en-US" w:eastAsia="zh-CN"/>
        </w:rPr>
        <w:t xml:space="preserve">-</w:t>
      </w:r>
      <w:r>
        <w:rPr>
          <w:rFonts w:hint="eastAsia" w:ascii="宋体" w:hAnsi="宋体" w:eastAsia="宋体" w:cs="宋体"/>
          <w:b w:val="0"/>
          <w:bCs w:val="0"/>
          <w:color w:val="1d41d5"/>
          <w:spacing w:val="8"/>
          <w:sz w:val="28"/>
          <w:szCs w:val="28"/>
          <w:u w:val="single"/>
          <w:lang w:val="en-US" w:eastAsia="zh-CN"/>
        </w:rPr>
        <w:t xml:space="preserve">82824804</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常州市金坛区金坛大道150号</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r>
        <w:rPr>
          <w:rFonts w:hint="eastAsia" w:ascii="宋体" w:hAnsi="宋体" w:eastAsia="宋体" w:cs="宋体"/>
        </w:rPr>
        <w:t xml:space="preserve"> </w:t>
      </w:r>
      <w:bookmarkEnd w:id="15"/>
      <w:r/>
      <w:r/>
      <w:r>
        <w:rPr>
          <w:rFonts w:hint="eastAsia" w:ascii="宋体" w:hAnsi="宋体" w:eastAsia="宋体" w:cs="宋体"/>
          <w:color w:val="333333"/>
          <w:spacing w:val="8"/>
          <w:sz w:val="28"/>
          <w:szCs w:val="28"/>
          <w:lang w:val="zh-TW" w:eastAsia="zh-CN"/>
        </w:rPr>
      </w:r>
    </w:p>
    <w:p>
      <w:pPr>
        <w:jc w:val="left"/>
        <w:tabs>
          <w:tab w:val="left" w:pos="7924" w:leader="none"/>
        </w:tabs>
        <w:rPr>
          <w:rStyle w:val="967"/>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967"/>
          <w:rFonts w:hint="eastAsia" w:ascii="宋体" w:hAnsi="宋体" w:eastAsia="宋体" w:cs="宋体"/>
          <w:sz w:val="28"/>
          <w:szCs w:val="28"/>
        </w:rPr>
      </w:pPr>
      <w:r/>
      <w:bookmarkStart w:id="21" w:name="_Toc7653"/>
      <w:r/>
      <w:bookmarkStart w:id="22" w:name="_Toc11125"/>
      <w:r/>
      <w:bookmarkStart w:id="23" w:name="_Toc16227"/>
      <w:r/>
      <w:bookmarkStart w:id="24" w:name="_Toc29535"/>
      <w:r/>
      <w:bookmarkStart w:id="25" w:name="_Toc2993"/>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pStyle w:val="941"/>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Style w:val="967"/>
          <w:rFonts w:hint="eastAsia" w:ascii="宋体" w:hAnsi="宋体" w:eastAsia="宋体" w:cs="宋体"/>
          <w:sz w:val="28"/>
          <w:szCs w:val="28"/>
        </w:rPr>
      </w:r>
      <w:r>
        <w:rPr>
          <w:rStyle w:val="967"/>
          <w:rFonts w:hint="eastAsia" w:ascii="宋体" w:hAnsi="宋体" w:eastAsia="宋体" w:cs="宋体"/>
          <w:sz w:val="28"/>
          <w:szCs w:val="28"/>
        </w:rP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67"/>
          <w:rFonts w:hint="eastAsia" w:ascii="宋体" w:hAnsi="宋体" w:eastAsia="宋体" w:cs="宋体"/>
          <w:sz w:val="28"/>
          <w:szCs w:val="28"/>
        </w:rPr>
      </w:pPr>
      <w:r>
        <w:rPr>
          <w:rFonts w:hint="eastAsia" w:ascii="宋体" w:hAnsi="宋体" w:eastAsia="宋体" w:cs="宋体"/>
          <w:sz w:val="28"/>
          <w:szCs w:val="28"/>
        </w:rPr>
      </w:r>
      <w:r/>
    </w:p>
    <w:p>
      <w:pPr>
        <w:pStyle w:val="942"/>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bookmarkEnd w:id="1"/>
      <w:r/>
    </w:p>
    <w:tbl>
      <w:tblPr>
        <w:tblStyle w:val="945"/>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val="0"/>
                <w:bCs w:val="0"/>
                <w:color w:val="1d41d5"/>
                <w:spacing w:val="8"/>
                <w:sz w:val="28"/>
                <w:szCs w:val="28"/>
                <w:u w:val="single"/>
                <w:lang w:val="en-US" w:eastAsia="zh-CN"/>
              </w:rPr>
              <w:t xml:space="preserve">常州市金坛区教育基本建设与装备管理中心</w:t>
            </w:r>
            <w:r>
              <w:rPr>
                <w:rFonts w:hint="eastAsia" w:ascii="宋体" w:hAnsi="宋体" w:eastAsia="宋体" w:cs="宋体"/>
                <w:b w:val="0"/>
                <w:bCs w:val="0"/>
                <w:color w:val="333333"/>
                <w:spacing w:val="8"/>
                <w:sz w:val="28"/>
                <w:szCs w:val="28"/>
                <w:lang w:val="en-US" w:eastAsia="zh-CN"/>
              </w:rPr>
              <w:t xml:space="preserve"> </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570</w:t>
            </w:r>
            <w:r>
              <w:rPr>
                <w:rFonts w:hint="eastAsia" w:ascii="宋体" w:hAnsi="宋体" w:eastAsia="宋体" w:cs="宋体"/>
                <w:b/>
                <w:bCs/>
                <w:color w:val="1d41d5"/>
                <w:spacing w:val="8"/>
                <w:sz w:val="28"/>
                <w:szCs w:val="28"/>
                <w:u w:val="single"/>
                <w:lang w:val="en-US"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是</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提供本项目信号和数据传输必需的通信线路资源以及范围内铺设必要的光缆和线路的许可和能力证明材料。</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sz w:val="28"/>
                <w:szCs w:val="28"/>
              </w:rPr>
              <w:t xml:space="preserve">本项目采用最低评标价法</w:t>
            </w:r>
            <w:r>
              <w:rPr>
                <w:rFonts w:hint="eastAsia" w:ascii="Times New Roman" w:eastAsia="宋体"/>
                <w:lang w:val="en-US" w:eastAsia="zh-CN"/>
              </w:rPr>
              <w:t xml:space="preserve">，</w:t>
            </w:r>
            <w:r>
              <w:rPr>
                <w:rFonts w:hint="eastAsia" w:ascii="Times New Roman"/>
                <w:lang w:val="en-US" w:eastAsia="zh-CN"/>
              </w:rPr>
              <w:t xml:space="preserve">无需提供。</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信息传输</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rPr>
              <w:t xml:space="preserve">技术</w:t>
            </w:r>
            <w:r>
              <w:rPr>
                <w:rFonts w:hint="eastAsia"/>
                <w:lang w:val="en-US" w:eastAsia="zh-CN"/>
              </w:rPr>
              <w:t xml:space="preserve">部分</w:t>
            </w:r>
            <w:r>
              <w:rPr>
                <w:rFonts w:hint="eastAsia"/>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default" w:ascii="宋体" w:hAnsi="宋体" w:eastAsia="宋体" w:cs="宋体"/>
                <w:color w:val="333333"/>
                <w:spacing w:val="8"/>
                <w:sz w:val="28"/>
                <w:szCs w:val="28"/>
                <w:lang w:val="en-US" w:eastAsia="zh-CN"/>
              </w:rPr>
              <w:suppressLineNumbers w:val="0"/>
            </w:pPr>
            <w:r>
              <w:rPr>
                <w:rFonts w:hint="eastAsia"/>
              </w:rPr>
              <w:t xml:space="preserve">■ </w:t>
            </w:r>
            <w:r>
              <w:rPr>
                <w:rFonts w:hint="eastAsia" w:ascii="宋体" w:hAnsi="宋体" w:eastAsia="宋体" w:cs="宋体"/>
                <w:sz w:val="28"/>
                <w:szCs w:val="28"/>
              </w:rPr>
              <w:t xml:space="preserve">本项目采用最低评标价法</w:t>
            </w:r>
            <w:r>
              <w:rPr>
                <w:rFonts w:hint="eastAsia"/>
                <w:lang w:val="en-US" w:eastAsia="zh-CN"/>
              </w:rPr>
              <w:t xml:space="preserve">，无技术部分</w:t>
            </w:r>
            <w:r>
              <w:rPr>
                <w:rFonts w:hint="eastAsia"/>
                <w:lang w:eastAsia="zh-CN"/>
              </w:rPr>
              <w:t xml:space="preserve">。</w:t>
            </w:r>
            <w:r>
              <w:rPr>
                <w:rFonts w:hint="eastAsia"/>
              </w:rPr>
              <w:t xml:space="preserve"> </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95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95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959"/>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95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993"/>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994"/>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942"/>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42"/>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942"/>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942"/>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42"/>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942"/>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968"/>
          <w:rFonts w:hint="eastAsia"/>
          <w:lang w:val="en-US" w:eastAsia="zh-CN"/>
        </w:rPr>
      </w:pPr>
      <w:r>
        <w:rPr>
          <w:rStyle w:val="968"/>
          <w:rFonts w:hint="eastAsia"/>
          <w:lang w:val="en-US" w:eastAsia="zh-CN"/>
        </w:rPr>
        <w:br w:type="page" w:clear="all"/>
      </w:r>
      <w:r/>
    </w:p>
    <w:p>
      <w:pPr>
        <w:ind w:left="0" w:firstLine="3935"/>
        <w:jc w:val="both"/>
        <w:keepLines w:val="0"/>
        <w:keepNext w:val="0"/>
        <w:pageBreakBefore w:val="0"/>
        <w:spacing w:line="360" w:lineRule="auto"/>
        <w:widowControl w:val="off"/>
        <w:rPr>
          <w:rStyle w:val="968"/>
          <w:rFonts w:hint="eastAsia"/>
          <w:lang w:val="en-US" w:eastAsia="zh-CN"/>
        </w:rPr>
        <w:outlineLvl w:val="9"/>
      </w:pPr>
      <w:r>
        <w:rPr>
          <w:rStyle w:val="968"/>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1"/>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2"/>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942"/>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945"/>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19240"/>
      <w:r/>
      <w:bookmarkStart w:id="27" w:name="_Toc18937"/>
      <w:r/>
      <w:bookmarkStart w:id="28" w:name="_Toc6649"/>
      <w:r/>
      <w:bookmarkStart w:id="29" w:name="_Toc7340"/>
      <w:r/>
      <w:bookmarkStart w:id="30"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1"/>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2"/>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942"/>
        <w:spacing w:line="240" w:lineRule="auto"/>
        <w:rPr>
          <w:rFonts w:hint="eastAsia"/>
          <w:lang w:val="en-US" w:eastAsia="zh-CN"/>
        </w:rPr>
      </w:pPr>
      <w:r>
        <w:rPr>
          <w:rFonts w:hint="eastAsia"/>
          <w:lang w:val="en-US" w:eastAsia="zh-CN"/>
        </w:rPr>
        <w:t xml:space="preserve">第二节  符合性审查要求</w:t>
      </w:r>
      <w:r/>
    </w:p>
    <w:tbl>
      <w:tblPr>
        <w:tblStyle w:val="945"/>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952"/>
        <w:gridCol w:w="2988"/>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4952"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9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942"/>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5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942"/>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bookmarkEnd w:id="31"/>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bookmarkStart w:id="32" w:name="_Toc24545"/>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2.1本项目采用最低评标价法。最低评标价法，是指投标文件满足招标文件全部实质性要求，且投标报价最低的投标人为中标候选人，投标报价相同的并列，投标文件满足采购文件全部实质性要求，由采购人现场抽签决定第一中标候选人。</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w:t>
      </w:r>
      <w:r/>
    </w:p>
    <w:p>
      <w:pPr>
        <w:numPr>
          <w:ilvl w:val="0"/>
          <w:numId w:val="0"/>
        </w:numPr>
        <w:ind w:firstLine="560"/>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评标委员会在评标过程中发现投标人有行贿、提供虚假材料或者串通等违法行为时，有向采购人、采购代理机构或者有关部门报告的职责。</w:t>
      </w:r>
      <w:bookmarkEnd w:id="32"/>
      <w:r/>
    </w:p>
    <w:p>
      <w:pPr>
        <w:ind w:left="0" w:firstLine="0"/>
        <w:pageBreakBefore w:val="0"/>
        <w:rPr>
          <w:rFonts w:eastAsia="宋体" w:cs="Times New Roman"/>
        </w:rPr>
      </w:pPr>
      <w:r>
        <w:rPr>
          <w:rFonts w:eastAsia="宋体" w:cs="Times New Roman"/>
        </w:rPr>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0212"/>
      <w:r/>
      <w:bookmarkStart w:id="35" w:name="_Toc12777"/>
      <w:r/>
      <w:bookmarkStart w:id="36" w:name="_Toc6187"/>
      <w:r/>
      <w:bookmarkStart w:id="37" w:name="_Toc8049"/>
      <w:r/>
      <w:bookmarkStart w:id="38" w:name="_Toc10141"/>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7"/>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987"/>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41"/>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987"/>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987"/>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bookmarkEnd w:id="34"/>
      <w:bookmarkEnd w:id="35"/>
      <w:bookmarkEnd w:id="36"/>
      <w:bookmarkEnd w:id="37"/>
      <w:bookmarkEnd w:id="38"/>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ind w:left="0" w:firstLine="0"/>
        <w:jc w:val="center"/>
        <w:keepLines/>
        <w:keepNext/>
        <w:pageBreakBefore w:val="0"/>
        <w:spacing w:before="0" w:after="0" w:line="360" w:lineRule="auto"/>
        <w:widowControl w:val="off"/>
        <w:rPr>
          <w:rFonts w:hint="eastAsia" w:ascii="黑体" w:hAnsi="黑体" w:eastAsia="黑体" w:cs="黑体"/>
          <w:b/>
          <w:bCs/>
          <w:sz w:val="28"/>
          <w:szCs w:val="28"/>
          <w:lang w:val="en-US" w:eastAsia="zh-CN" w:bidi="ar-SA"/>
        </w:rPr>
        <w:outlineLvl w:val="2"/>
      </w:pPr>
      <w:r>
        <w:rPr>
          <w:rFonts w:hint="eastAsia" w:ascii="黑体" w:hAnsi="黑体" w:eastAsia="黑体" w:cs="黑体"/>
          <w:b/>
          <w:bCs/>
          <w:sz w:val="28"/>
          <w:szCs w:val="28"/>
          <w:lang w:val="en-US" w:eastAsia="zh-CN" w:bidi="ar-SA"/>
        </w:rPr>
        <w:t xml:space="preserve">第一节  项目基本信息</w:t>
      </w:r>
      <w:r/>
    </w:p>
    <w:tbl>
      <w:tblPr>
        <w:tblStyle w:val="945"/>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07"/>
        <w:gridCol w:w="330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30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30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Cs/>
                <w:sz w:val="28"/>
                <w:szCs w:val="28"/>
                <w:lang w:val="en-US" w:eastAsia="zh-CN"/>
              </w:rPr>
              <w:t xml:space="preserve">最高限价</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Times New Roman" w:hAnsi="Times New Roman" w:eastAsia="宋体" w:cs="Times New Roman"/>
                <w:bCs/>
                <w:color w:val="000000"/>
                <w:sz w:val="28"/>
                <w:szCs w:val="28"/>
                <w:lang w:val="en-US" w:eastAsia="zh-CN"/>
              </w:rPr>
              <w:t xml:space="preserve">01</w:t>
            </w:r>
            <w:r/>
          </w:p>
        </w:tc>
        <w:tc>
          <w:tcPr>
            <w:tcW w:w="330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Times New Roman" w:hAnsi="Times New Roman" w:eastAsia="宋体" w:cs="Times New Roman"/>
                <w:bCs/>
                <w:color w:val="000000"/>
                <w:sz w:val="28"/>
                <w:szCs w:val="28"/>
              </w:rPr>
              <w:suppressLineNumbers w:val="0"/>
            </w:pPr>
            <w:r>
              <w:rPr>
                <w:rFonts w:hint="default" w:ascii="Times New Roman" w:hAnsi="Times New Roman" w:eastAsia="宋体" w:cs="Times New Roman"/>
                <w:bCs/>
                <w:color w:val="000000"/>
                <w:sz w:val="28"/>
                <w:szCs w:val="28"/>
              </w:rPr>
              <w:t xml:space="preserve">JSZC-320413-JZCG-</w:t>
            </w:r>
            <w:r/>
          </w:p>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default" w:ascii="Times New Roman" w:hAnsi="Times New Roman" w:eastAsia="宋体" w:cs="Times New Roman"/>
                <w:bCs/>
                <w:color w:val="000000"/>
                <w:sz w:val="28"/>
                <w:szCs w:val="28"/>
              </w:rPr>
              <w:t xml:space="preserve">G2026-00</w:t>
            </w:r>
            <w:r>
              <w:rPr>
                <w:rFonts w:hint="eastAsia" w:ascii="Times New Roman" w:hAnsi="Times New Roman" w:cs="Times New Roman"/>
                <w:bCs/>
                <w:color w:val="000000"/>
                <w:sz w:val="28"/>
                <w:szCs w:val="28"/>
                <w:lang w:val="en-US" w:eastAsia="zh-CN"/>
              </w:rPr>
              <w:t xml:space="preserve">22</w:t>
            </w:r>
            <w:r/>
          </w:p>
        </w:tc>
        <w:tc>
          <w:tcPr>
            <w:tcW w:w="330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Times New Roman" w:hAnsi="Times New Roman"/>
                <w:bCs/>
                <w:color w:val="000000"/>
                <w:sz w:val="28"/>
                <w:szCs w:val="28"/>
              </w:rPr>
              <w:t xml:space="preserve">常州市金坛区教育城域网运维升级服务</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Times New Roman" w:hAnsi="Times New Roman" w:cs="Times New Roman"/>
                <w:bCs/>
                <w:color w:val="000000"/>
                <w:sz w:val="28"/>
                <w:szCs w:val="28"/>
                <w:lang w:val="en-US" w:eastAsia="zh-CN"/>
              </w:rPr>
              <w:t xml:space="preserve">570</w:t>
            </w:r>
            <w:r>
              <w:rPr>
                <w:rFonts w:hint="eastAsia" w:ascii="Times New Roman" w:hAnsi="Times New Roman" w:eastAsia="宋体" w:cs="Times New Roman"/>
                <w:bCs/>
                <w:color w:val="000000"/>
                <w:sz w:val="28"/>
                <w:szCs w:val="28"/>
                <w:lang w:val="en-US" w:eastAsia="zh-CN"/>
              </w:rPr>
              <w:t xml:space="preserve">万元</w:t>
            </w:r>
            <w:r/>
          </w:p>
        </w:tc>
      </w:tr>
    </w:tbl>
    <w:p>
      <w:pPr>
        <w:ind w:firstLine="1687"/>
        <w:rPr>
          <w:rFonts w:hint="eastAsia" w:eastAsia="宋体" w:cs="Times New Roman"/>
          <w:lang w:val="en-US" w:eastAsia="zh-CN"/>
        </w:rPr>
      </w:pPr>
      <w:r>
        <w:rPr>
          <w:rFonts w:hint="eastAsia" w:eastAsia="宋体" w:cs="Times New Roman"/>
          <w:lang w:val="en-US" w:eastAsia="zh-CN"/>
        </w:rPr>
      </w:r>
      <w:r/>
    </w:p>
    <w:p>
      <w:pPr>
        <w:numPr>
          <w:ilvl w:val="0"/>
          <w:numId w:val="0"/>
        </w:numPr>
        <w:ind w:firstLine="562"/>
        <w:jc w:val="center"/>
        <w:keepLines/>
        <w:keepNext/>
        <w:spacing w:line="360" w:lineRule="auto"/>
        <w:widowControl w:val="off"/>
        <w:rPr>
          <w:rFonts w:hint="eastAsia" w:ascii="Times New Roman" w:hAnsi="Times New Roman" w:eastAsia="黑体" w:cs="Times New Roman"/>
          <w:b/>
          <w:bCs/>
          <w:sz w:val="28"/>
          <w:szCs w:val="32"/>
          <w:lang w:val="en-US" w:eastAsia="zh-CN" w:bidi="ar-SA"/>
        </w:rPr>
        <w:outlineLvl w:val="2"/>
      </w:pPr>
      <w:r>
        <w:rPr>
          <w:rFonts w:hint="eastAsia" w:ascii="Times New Roman" w:hAnsi="Times New Roman" w:eastAsia="黑体" w:cs="Times New Roman"/>
          <w:b/>
          <w:bCs/>
          <w:sz w:val="28"/>
          <w:szCs w:val="32"/>
          <w:lang w:val="en-US" w:eastAsia="zh-CN" w:bidi="ar-SA"/>
        </w:rPr>
        <w:t xml:space="preserve">第二节  项目概况</w:t>
      </w:r>
      <w:r/>
    </w:p>
    <w:p>
      <w:pPr>
        <w:numPr>
          <w:ilvl w:val="0"/>
          <w:numId w:val="0"/>
        </w:numPr>
        <w:ind w:firstLine="560"/>
        <w:jc w:val="both"/>
        <w:keepLines w:val="0"/>
        <w:keepNext w:val="0"/>
        <w:pageBreakBefore w:val="0"/>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金坛教育城域网运行至今已满五年，目前已建立起一套包含核心层、汇聚层、接入层架构完整、可靠的城域网体系，各学校采取专线的形式接入教育城域网，进行统一出口、统一管理，共计62家单位。</w:t>
      </w:r>
      <w:r/>
    </w:p>
    <w:p>
      <w:pPr>
        <w:numPr>
          <w:ilvl w:val="0"/>
          <w:numId w:val="0"/>
        </w:numPr>
        <w:ind w:firstLine="560"/>
        <w:jc w:val="both"/>
        <w:keepLines w:val="0"/>
        <w:keepNext w:val="0"/>
        <w:pageBreakBefore w:val="0"/>
        <w:widowControl w:val="off"/>
        <w:rPr>
          <w:rFonts w:hint="default" w:eastAsia="宋体" w:cs="Times New Roman"/>
          <w:color w:val="auto"/>
          <w:u w:val="none"/>
          <w:lang w:val="en-US" w:eastAsia="zh-CN"/>
        </w:rPr>
      </w:pPr>
      <w:r>
        <w:rPr>
          <w:rFonts w:hint="eastAsia" w:ascii="宋体" w:hAnsi="宋体" w:eastAsia="宋体" w:cs="宋体"/>
          <w:b w:val="0"/>
          <w:bCs w:val="0"/>
          <w:sz w:val="28"/>
          <w:szCs w:val="28"/>
          <w:lang w:val="en-US" w:eastAsia="zh-CN" w:bidi="ar-SA"/>
        </w:rPr>
        <w:t xml:space="preserve">因近几年僵木蠕威胁和翻墙行为等被纳入重点管控，原配备的信息安全设备已经无法满足要求，设备急需进行更新迭代及维保服务。</w:t>
      </w:r>
      <w:r>
        <w:rPr>
          <w:rFonts w:hint="eastAsia" w:ascii="宋体" w:hAnsi="宋体" w:eastAsia="宋体" w:cs="宋体"/>
          <w:b w:val="0"/>
          <w:bCs w:val="0"/>
          <w:sz w:val="28"/>
          <w:szCs w:val="28"/>
        </w:rPr>
        <w:t xml:space="preserve">以满足信息安全的最新要求，同时需确保现有各接入单位接入城域网的网络质量，以满足整个城域网安全稳定运行的要求。</w:t>
      </w:r>
      <w:r/>
    </w:p>
    <w:p>
      <w:pPr>
        <w:ind w:firstLine="1687"/>
        <w:rPr>
          <w:rFonts w:hint="eastAsia" w:eastAsia="宋体" w:cs="Times New Roman"/>
          <w:lang w:val="en-US" w:eastAsia="zh-CN"/>
        </w:rPr>
      </w:pPr>
      <w:r/>
      <w:bookmarkStart w:id="39" w:name="_Hlk72073432"/>
      <w:r/>
      <w:r/>
    </w:p>
    <w:p>
      <w:pPr>
        <w:ind w:left="0" w:firstLine="0"/>
        <w:jc w:val="center"/>
        <w:keepLines/>
        <w:keepNext/>
        <w:pageBreakBefore w:val="0"/>
        <w:spacing w:before="0" w:after="0" w:line="360" w:lineRule="auto"/>
        <w:widowControl w:val="off"/>
        <w:rPr>
          <w:rFonts w:hint="eastAsia" w:ascii="黑体" w:hAnsi="黑体" w:eastAsia="黑体" w:cs="黑体"/>
          <w:b/>
          <w:bCs/>
          <w:sz w:val="28"/>
          <w:szCs w:val="28"/>
          <w:lang w:val="zh-CN" w:eastAsia="zh-CN" w:bidi="ar-SA"/>
        </w:rPr>
        <w:outlineLvl w:val="2"/>
      </w:pPr>
      <w:r>
        <w:rPr>
          <w:rFonts w:hint="eastAsia" w:ascii="黑体" w:hAnsi="黑体" w:eastAsia="黑体" w:cs="黑体"/>
          <w:b/>
          <w:bCs/>
          <w:sz w:val="28"/>
          <w:szCs w:val="28"/>
          <w:lang w:val="en-US" w:eastAsia="zh-CN" w:bidi="ar-SA"/>
        </w:rPr>
        <w:t xml:space="preserve">第三节  </w:t>
      </w:r>
      <w:r>
        <w:rPr>
          <w:rFonts w:hint="eastAsia" w:ascii="黑体" w:hAnsi="黑体" w:eastAsia="黑体" w:cs="黑体"/>
          <w:b/>
          <w:bCs/>
          <w:sz w:val="28"/>
          <w:szCs w:val="28"/>
          <w:lang w:val="zh-CN" w:eastAsia="zh-CN" w:bidi="ar-SA"/>
        </w:rPr>
        <w:t xml:space="preserve">服务需求明细</w:t>
      </w:r>
      <w:bookmarkEnd w:id="39"/>
      <w:r/>
      <w:r/>
    </w:p>
    <w:tbl>
      <w:tblPr>
        <w:tblStyle w:val="945"/>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42"/>
        <w:gridCol w:w="376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序</w:t>
            </w:r>
            <w:r>
              <w:rPr>
                <w:rFonts w:hint="eastAsia" w:ascii="宋体" w:hAnsi="宋体" w:eastAsia="宋体" w:cs="宋体"/>
                <w:bCs/>
                <w:sz w:val="28"/>
                <w:szCs w:val="28"/>
              </w:rPr>
              <w:t xml:space="preserve">号</w:t>
            </w:r>
            <w:r/>
          </w:p>
        </w:tc>
        <w:tc>
          <w:tcPr>
            <w:tcW w:w="159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0</w:t>
            </w:r>
            <w:r>
              <w:rPr>
                <w:rFonts w:hint="eastAsia" w:ascii="宋体" w:hAnsi="宋体" w:eastAsia="宋体" w:cs="宋体"/>
                <w:bCs/>
                <w:sz w:val="28"/>
                <w:szCs w:val="28"/>
              </w:rPr>
              <w:t xml:space="preserve">1</w:t>
            </w:r>
            <w:r/>
          </w:p>
        </w:tc>
        <w:tc>
          <w:tcPr>
            <w:tcW w:w="159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Times New Roman" w:hAnsi="Times New Roman" w:eastAsia="宋体" w:cs="Times New Roman"/>
                <w:bCs/>
                <w:color w:val="000000"/>
                <w:sz w:val="28"/>
                <w:szCs w:val="28"/>
              </w:rPr>
              <w:suppressLineNumbers w:val="0"/>
            </w:pPr>
            <w:r>
              <w:rPr>
                <w:rFonts w:hint="default" w:ascii="Times New Roman" w:hAnsi="Times New Roman" w:eastAsia="宋体" w:cs="Times New Roman"/>
                <w:bCs/>
                <w:color w:val="000000"/>
                <w:sz w:val="28"/>
                <w:szCs w:val="28"/>
              </w:rPr>
              <w:t xml:space="preserve">JSZC-320413-JZCG-</w:t>
            </w:r>
            <w:r/>
          </w:p>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default" w:ascii="Times New Roman" w:hAnsi="Times New Roman" w:eastAsia="宋体" w:cs="Times New Roman"/>
                <w:bCs/>
                <w:color w:val="000000"/>
                <w:sz w:val="28"/>
                <w:szCs w:val="28"/>
              </w:rPr>
              <w:t xml:space="preserve">G2026-00</w:t>
            </w:r>
            <w:r>
              <w:rPr>
                <w:rFonts w:hint="eastAsia" w:ascii="Times New Roman" w:hAnsi="Times New Roman" w:cs="Times New Roman"/>
                <w:bCs/>
                <w:color w:val="000000"/>
                <w:sz w:val="28"/>
                <w:szCs w:val="28"/>
                <w:lang w:val="en-US" w:eastAsia="zh-CN"/>
              </w:rPr>
              <w:t xml:space="preserve">22</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Times New Roman" w:hAnsi="Times New Roman"/>
                <w:bCs/>
                <w:color w:val="000000"/>
                <w:sz w:val="28"/>
                <w:szCs w:val="28"/>
              </w:rPr>
              <w:suppressLineNumbers w:val="0"/>
            </w:pPr>
            <w:r>
              <w:rPr>
                <w:rFonts w:hint="eastAsia" w:ascii="Times New Roman" w:hAnsi="Times New Roman"/>
                <w:bCs/>
                <w:color w:val="000000"/>
                <w:sz w:val="28"/>
                <w:szCs w:val="28"/>
              </w:rPr>
              <w:t xml:space="preserve">常州市金坛区教育城域网</w:t>
            </w:r>
            <w:r/>
          </w:p>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Cs/>
                <w:sz w:val="28"/>
                <w:szCs w:val="28"/>
              </w:rPr>
              <w:suppressLineNumbers w:val="0"/>
            </w:pPr>
            <w:r>
              <w:rPr>
                <w:rFonts w:hint="eastAsia" w:ascii="Times New Roman" w:hAnsi="Times New Roman"/>
                <w:bCs/>
                <w:color w:val="000000"/>
                <w:sz w:val="28"/>
                <w:szCs w:val="28"/>
              </w:rPr>
              <w:t xml:space="preserve">运维升级服务</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ind w:firstLine="1687"/>
        <w:rPr>
          <w:rFonts w:hint="eastAsia" w:eastAsia="宋体" w:cs="Times New Roman"/>
          <w:lang w:val="en-US" w:eastAsia="zh-CN"/>
        </w:rPr>
      </w:pPr>
      <w:r>
        <w:rPr>
          <w:rFonts w:hint="eastAsia" w:eastAsia="宋体" w:cs="Times New Roman"/>
          <w:lang w:val="en-US" w:eastAsia="zh-CN"/>
        </w:rPr>
      </w:r>
      <w:r/>
    </w:p>
    <w:p>
      <w:pPr>
        <w:numPr>
          <w:ilvl w:val="0"/>
          <w:numId w:val="2"/>
        </w:numPr>
        <w:ind w:left="0" w:firstLine="0"/>
        <w:jc w:val="center"/>
        <w:keepNext/>
        <w:pageBreakBefore w:val="0"/>
        <w:spacing w:before="0" w:after="0" w:line="360" w:lineRule="auto"/>
        <w:widowControl w:val="off"/>
        <w:rPr>
          <w:rFonts w:hint="eastAsia"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 实质性条款</w:t>
      </w:r>
      <w:r/>
    </w:p>
    <w:tbl>
      <w:tblPr>
        <w:tblStyle w:val="94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7"/>
      </w:tblGrid>
      <w:tr>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3" w:type="pct"/>
            <w:vAlign w:val="center"/>
            <w:textDirection w:val="lrTb"/>
            <w:noWrap w:val="false"/>
          </w:tcPr>
          <w:p>
            <w:pPr>
              <w:ind w:left="0" w:right="0" w:firstLine="1687"/>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val="0"/>
                <w:bCs w:val="0"/>
                <w:sz w:val="28"/>
                <w:szCs w:val="28"/>
                <w:lang w:val="en-US" w:eastAsia="zh-CN" w:bidi="ar-SA"/>
              </w:rPr>
              <w:t xml:space="preserve">因该系统为教育城域网主核心业务系统，为保障业务稳定，中标人应承诺在中标后30日内向招标人提供本次服务项目的所有内容，包含网络服务、出口服务、网站集群云服务等，若中标后无法履约的，招标人可自行解除合同并追究法律责任。</w:t>
            </w:r>
            <w:r>
              <w:rPr>
                <w:rFonts w:hint="eastAsia" w:ascii="宋体" w:hAnsi="宋体" w:eastAsia="宋体" w:cs="宋体"/>
                <w:b/>
                <w:bCs/>
                <w:color w:val="ff0000"/>
                <w:sz w:val="28"/>
                <w:szCs w:val="28"/>
                <w:lang w:val="en-US" w:eastAsia="zh-CN" w:bidi="ar-SA"/>
              </w:rPr>
              <w:t xml:space="preserve">注：提供承诺函（格式自拟）上传至“与评审相关的其他符合证明文件材料”模块中，否则作无效投标文件处理。</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lang w:val="en-US" w:eastAsia="zh-CN"/>
        </w:rPr>
        <w:t xml:space="preserve">响应</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eastAsia="宋体" w:cs="宋体"/>
          <w:b/>
          <w:bCs/>
          <w:color w:val="ff0000"/>
          <w:sz w:val="28"/>
          <w:szCs w:val="28"/>
          <w:highlight w:val="yellow"/>
          <w:lang w:val="en-US" w:eastAsia="zh-CN"/>
        </w:rPr>
        <w:t xml:space="preserve">谈判</w:t>
      </w:r>
      <w:r>
        <w:rPr>
          <w:rFonts w:hint="eastAsia" w:ascii="宋体" w:hAnsi="宋体" w:eastAsia="宋体" w:cs="宋体"/>
          <w:b/>
          <w:bCs/>
          <w:color w:val="ff0000"/>
          <w:sz w:val="28"/>
          <w:szCs w:val="28"/>
          <w:highlight w:val="yellow"/>
        </w:rPr>
        <w:t xml:space="preserve">文件要求作投标</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lang w:val="en-US" w:eastAsia="zh-CN"/>
        </w:rPr>
        <w:t xml:space="preserve">响应</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ind w:firstLine="1687"/>
        <w:rPr>
          <w:rFonts w:hint="eastAsia" w:eastAsia="宋体" w:cs="Times New Roman"/>
          <w:lang w:val="en-US" w:eastAsia="zh-CN"/>
        </w:rPr>
      </w:pPr>
      <w:r>
        <w:rPr>
          <w:rFonts w:hint="eastAsia" w:eastAsia="宋体" w:cs="Times New Roman"/>
          <w:lang w:val="en-US" w:eastAsia="zh-CN"/>
        </w:rPr>
      </w:r>
      <w:r/>
    </w:p>
    <w:p>
      <w:pPr>
        <w:numPr>
          <w:ilvl w:val="0"/>
          <w:numId w:val="0"/>
        </w:numPr>
        <w:ind w:firstLine="562"/>
        <w:jc w:val="center"/>
        <w:keepLines/>
        <w:keepNext/>
        <w:pageBreakBefore w:val="0"/>
        <w:spacing w:before="0" w:after="0" w:line="360" w:lineRule="auto"/>
        <w:widowControl w:val="off"/>
        <w:rPr>
          <w:rFonts w:hint="eastAsia" w:ascii="黑体" w:hAnsi="黑体" w:eastAsia="黑体" w:cs="黑体"/>
          <w:b/>
          <w:bCs/>
          <w:sz w:val="28"/>
          <w:szCs w:val="28"/>
          <w:lang w:val="zh-CN" w:eastAsia="zh-CN" w:bidi="ar-SA"/>
        </w:rPr>
        <w:outlineLvl w:val="2"/>
      </w:pPr>
      <w:r>
        <w:rPr>
          <w:rFonts w:hint="eastAsia" w:ascii="黑体" w:hAnsi="黑体" w:eastAsia="黑体" w:cs="黑体"/>
          <w:b/>
          <w:bCs/>
          <w:sz w:val="28"/>
          <w:szCs w:val="28"/>
          <w:lang w:val="en-US" w:eastAsia="zh-CN" w:bidi="ar-SA"/>
        </w:rPr>
        <w:t xml:space="preserve">第五节  </w:t>
      </w:r>
      <w:r>
        <w:rPr>
          <w:rFonts w:hint="eastAsia" w:ascii="黑体" w:hAnsi="黑体" w:eastAsia="黑体" w:cs="黑体"/>
          <w:b/>
          <w:bCs/>
          <w:sz w:val="28"/>
          <w:szCs w:val="28"/>
          <w:lang w:val="zh-CN" w:eastAsia="zh-CN" w:bidi="ar-SA"/>
        </w:rPr>
        <w:t xml:space="preserve">技术要求</w:t>
      </w:r>
      <w:r/>
    </w:p>
    <w:p>
      <w:pPr>
        <w:numPr>
          <w:numId w:val="0"/>
        </w:numPr>
        <w:ind w:firstLine="562"/>
        <w:jc w:val="left"/>
        <w:keepLines/>
        <w:keepNext/>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w:t>
      </w:r>
      <w:r>
        <w:rPr>
          <w:rFonts w:hint="eastAsia" w:ascii="宋体" w:hAnsi="宋体" w:eastAsia="宋体" w:cs="宋体"/>
          <w:b/>
          <w:bCs/>
          <w:sz w:val="28"/>
          <w:szCs w:val="28"/>
          <w:lang w:val="en-US" w:eastAsia="zh-CN"/>
        </w:rPr>
        <w:t xml:space="preserve">一、线路维护技术要求</w:t>
      </w:r>
      <w:r/>
    </w:p>
    <w:p>
      <w:pPr>
        <w:numPr>
          <w:ilvl w:val="0"/>
          <w:numId w:val="0"/>
        </w:num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投标人负责各单位的接入工作，提供62家单位的线路接入，并努力提高服务水平，从技术、日常巡检等方面确保本协议内城域网硬件及线路运行正常，以确保平台的安全性、稳定性，全力确保城域网的正常运转，并做好应急备份；为保证各学校的日常办公需求，投标人需提供</w:t>
      </w:r>
      <w:r>
        <w:rPr>
          <w:rFonts w:hint="eastAsia" w:ascii="宋体" w:hAnsi="宋体" w:eastAsia="宋体" w:cs="宋体"/>
          <w:b w:val="0"/>
          <w:bCs w:val="0"/>
          <w:sz w:val="28"/>
          <w:szCs w:val="28"/>
          <w:lang w:val="en-US" w:eastAsia="zh-CN" w:bidi="ar-SA"/>
        </w:rPr>
        <w:t xml:space="preserve">62家单位的网络维护服务</w:t>
      </w:r>
      <w:r>
        <w:rPr>
          <w:rFonts w:hint="eastAsia" w:ascii="宋体" w:hAnsi="宋体" w:eastAsia="宋体" w:cs="宋体"/>
          <w:b w:val="0"/>
          <w:bCs w:val="0"/>
          <w:sz w:val="28"/>
          <w:szCs w:val="28"/>
          <w:lang w:val="en-US" w:eastAsia="zh-CN" w:bidi="ar-SA"/>
        </w:rPr>
        <w:t xml:space="preserve">以供日常办公需要。</w:t>
      </w:r>
      <w:r/>
    </w:p>
    <w:p>
      <w:pPr>
        <w:numPr>
          <w:numId w:val="0"/>
        </w:numPr>
        <w:ind w:firstLine="562"/>
        <w:jc w:val="left"/>
        <w:keepLines/>
        <w:keepNext/>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w:t>
      </w:r>
      <w:r>
        <w:rPr>
          <w:rFonts w:hint="eastAsia" w:ascii="宋体" w:hAnsi="宋体" w:eastAsia="宋体" w:cs="宋体"/>
          <w:b/>
          <w:bCs/>
          <w:sz w:val="28"/>
          <w:szCs w:val="28"/>
          <w:lang w:val="en-US" w:eastAsia="zh-CN"/>
        </w:rPr>
        <w:t xml:space="preserve">二、城域网升级详细技术要求</w:t>
      </w:r>
      <w:r/>
    </w:p>
    <w:p>
      <w:pPr>
        <w:numPr>
          <w:ilvl w:val="0"/>
          <w:numId w:val="0"/>
        </w:numPr>
        <w:ind w:firstLine="560"/>
        <w:jc w:val="both"/>
        <w:keepLines w:val="0"/>
        <w:keepNext w:val="0"/>
        <w:pageBreakBefore w:val="0"/>
        <w:spacing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val="0"/>
          <w:bCs w:val="0"/>
          <w:sz w:val="28"/>
          <w:szCs w:val="28"/>
          <w:lang w:val="en-US" w:eastAsia="zh-CN" w:bidi="ar-SA"/>
        </w:rPr>
        <w:t xml:space="preserve">投标人负责进行城域网的升级改造，包含边界防护服务，上网行为管理服务，防翻墙服务，网站集群国产化适配改造及功能升级更新并配备各学校云主机、云存储，云WAF安全防护等供各学校网站日常使用，以及网内原有核心、汇聚层设备的维保工作。</w:t>
      </w:r>
      <w:r/>
    </w:p>
    <w:p>
      <w:pPr>
        <w:numPr>
          <w:numId w:val="0"/>
        </w:numPr>
        <w:ind w:firstLine="562"/>
        <w:jc w:val="left"/>
        <w:keepLines/>
        <w:keepNext/>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边界防护服务</w:t>
      </w:r>
      <w:r/>
    </w:p>
    <w:p>
      <w:pPr>
        <w:ind w:firstLine="560"/>
        <w:jc w:val="both"/>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服务的产品具备以下的功能以及性能要求：</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a)要求服务的产品是国产化芯片以及国产化操作系统；</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b)至少32个IPsecVPN标配并发隧道数；以及32个SSLVPN标配并发用户数，便于远程接入防火墙进行加密维护或者远程登录访问后面的业务系统；</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c)能够基于国家/地区的策略路由，能够指定目的区域，根据目的区域可以匹配策略路由进行数据转发；</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d)支持链路聚合-链路捆绑，支持聚合口802.3ad模式；</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e)具备Web 攻击防护、防扫描、HTTP 异常防护、SQL 注入攻击防护、防跨站脚本攻击、防护命令执行攻击、防护代码执行攻击、防护目录遍历攻击、防护敏感信息泄露、webshell防护；</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f)支持应用隐藏攻击防护、文件包含攻击防护、SYN Cookie攻击防护、具备HTTP行为管控、HTTP FLOOD攻击防护功能；</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g)支持异常流量监测、Web漏洞攻击防护、系统漏洞攻击防护、间谍软件功能防护；</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h)开通病毒防护服务，能够对HTTP/FTP/POP3/SMTP/IMAP/SMB六种协议进行病毒查杀；本地病毒库规模大于3000万；</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i)要求开通3年威胁情报服务，服务的产品厂家具备强大威胁情报能力，能够防范僵木蠕毒能，要求设备生厂商自2020年开始，累计向国家信息安全漏洞共享平台CNVD报送原创漏洞超过40万条，提供国家互联网应急中心出具的漏洞报送证明；</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j)以上提供现场的服务产品一共2台，不低于3年服务，开通防病毒以及威胁情报服务，对僵木蠕毒进行防范；</w:t>
      </w:r>
      <w:r/>
    </w:p>
    <w:p>
      <w:pPr>
        <w:numPr>
          <w:numId w:val="0"/>
        </w:numPr>
        <w:ind w:firstLine="562"/>
        <w:jc w:val="both"/>
        <w:keepLines w:val="0"/>
        <w:keepNext w:val="0"/>
        <w:pageBreakBefore w:val="0"/>
        <w:spacing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2.上网行为管理服务</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  服务的产品具备以下的功能以及性能要求：</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a)要求服务的产品是国产化芯片以及国产化操作系统；</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b)服务产品提供物理硬件bypass按钮，便于设备巡检、设备故障时管理员无需重启、关机、断电即可恢复网络通畅；</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c)服务产品应用数量大于等于11000种,移动应用大于等于5000种，即时消息应用大于等于 200种，虚拟货币交易平台大于等于40种，论坛发帖大于等于3000种，代理隧道大于等于100种;并且保持至少每两周一次的更新频率;URL数据大于等于2.8亿条，包含大类数量大于等于20个，小类数量大于等于130个；</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d)数据库审计服务：可审计0racle、MySql、SqlServer、PostgreSQL等数据库的访问与操作，包括添加、删除、修改、查询，并支持阻塞；</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e)业务审计与防护服务：支持对业务系统访问及 API接口进行扫描、通过敏感信息、安全漏洞、行为接口、自定义接口规则等识别并标识数据及传输风险，并可以查看最近某段时间内扫描到的业务系统访问数据的日志，树形结构展示业务系统及接口的层级关系；</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f)文件外发管理服务：可对FTP、基于SSL加密的SFTP、基于SSH加密的SCP的文件传输审计，可审计文件大小、文件名、扩展名传输方向、内容关键字等；</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g)流量控制服务：可对用户设置流量限额策略，针对超出限额的部分可以设置阻寒或限速</w:t>
      </w:r>
      <w:r>
        <w:t xml:space="preserve">；</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h)等保三权制衡管理机制服务：支持策略管理、日志审计、权限分配相互独立的三权制衡管理机制;管理员和审计员的账号创建、权限变更需要审核员审批才能生效；</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i)排查工具服务：提供工具以辅助管理员诊断排查网络故障，包括IP/MAC转换查询工具及PING、Traceroute、TCPDUMPTELNET、CURL、NSLOOKUP等；</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j)后缀名识别服务：在不安装agent的前提下，可支持基于文件后缀的文件类型识别；支持基于文件内容对归档文件、压缩文件、加密文件、脚本文件等170+文件类型识别。修改后缀名，压缩等方式均可以识别准确类型；</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以上提供现场2台的服务产品</w:t>
      </w:r>
      <w:r/>
    </w:p>
    <w:p>
      <w:pPr>
        <w:numPr>
          <w:numId w:val="0"/>
        </w:numPr>
        <w:ind w:left="420"/>
        <w:jc w:val="both"/>
        <w:keepLines w:val="0"/>
        <w:keepNext w:val="0"/>
        <w:pageBreakBefore w:val="0"/>
        <w:spacing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3.防翻墙服务</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a)翻墙应用的内容特征较弱，很难通过数据包内容特征或流量特征识别应用，需要通过行为关联特征，进行应用识别（出具提供服务厂家的原厂证明）;</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b)具备国内最大的应用协议库和URL库，应用数达12000+，URL库数量达2.8亿；具备最快的更新频率，每周一到两次（出具提供服务厂家的原厂证明）;</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c)应用控制策略阻塞代理隧道类应用：通过流量特征识别代理应用并进行封堵。可识别及管控有：chrome等插件类：Proxmate,proxtube等；PC软件类：自由门，无界浏览等；手机App:touchvpn，ultravpn等；</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d)网络浏览策略阻塞翻墙网站：通过内置分类库识别代理类网站并进行管控，阻塞请求可通过提示页面提醒风险；</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e)客户端准入策略阻塞代理软件：客户端准入策略可以将该检查结果作为是否允许主机接入网络的判断依据。如果终端存在代理软件，则禁止该终端接入网络（出具提供服务厂家的原厂证明）；</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f)周期性生成应用使用分析报告，可展示监控场景下高危应用使用的人数等信息，形成安全分析报告；</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r>
      <w:r/>
    </w:p>
    <w:p>
      <w:pPr>
        <w:numPr>
          <w:numId w:val="0"/>
        </w:numPr>
        <w:ind w:firstLine="562"/>
        <w:jc w:val="left"/>
        <w:keepLines/>
        <w:keepNext/>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w:t>
      </w:r>
      <w:r>
        <w:rPr>
          <w:rFonts w:hint="eastAsia" w:ascii="宋体" w:hAnsi="宋体" w:eastAsia="宋体" w:cs="宋体"/>
          <w:b/>
          <w:bCs/>
          <w:sz w:val="28"/>
          <w:szCs w:val="28"/>
          <w:lang w:val="en-US" w:eastAsia="zh-CN"/>
        </w:rPr>
        <w:t xml:space="preserve">三、采购清单</w:t>
      </w:r>
      <w:r/>
    </w:p>
    <w:tbl>
      <w:tblPr>
        <w:tblStyle w:val="94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8"/>
        <w:gridCol w:w="4127"/>
        <w:gridCol w:w="1050"/>
        <w:gridCol w:w="1110"/>
        <w:gridCol w:w="251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限制价（元）</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val="0"/>
                <w:bCs w:val="0"/>
                <w:sz w:val="28"/>
                <w:szCs w:val="28"/>
                <w:lang w:val="en-US" w:eastAsia="zh-CN"/>
              </w:rPr>
              <w:suppressLineNumbers w:val="0"/>
            </w:pPr>
            <w:r>
              <w:rPr>
                <w:rFonts w:hint="eastAsia" w:ascii="宋体" w:hAnsi="宋体" w:eastAsia="宋体" w:cs="宋体"/>
                <w:b w:val="0"/>
                <w:bCs w:val="0"/>
                <w:sz w:val="28"/>
                <w:szCs w:val="28"/>
                <w:lang w:val="en-US" w:eastAsia="zh-CN"/>
              </w:rPr>
              <w:t xml:space="preserve">62家单位网络维护服务</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3400000</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val="0"/>
                <w:bCs w:val="0"/>
                <w:sz w:val="28"/>
                <w:szCs w:val="28"/>
                <w:lang w:val="en-US" w:eastAsia="zh-CN"/>
              </w:rPr>
              <w:suppressLineNumbers w:val="0"/>
            </w:pPr>
            <w:r>
              <w:rPr>
                <w:rFonts w:hint="eastAsia" w:ascii="宋体" w:hAnsi="宋体" w:eastAsia="宋体" w:cs="宋体"/>
                <w:b w:val="0"/>
                <w:bCs w:val="0"/>
                <w:sz w:val="28"/>
                <w:szCs w:val="28"/>
                <w:lang w:val="en-US" w:eastAsia="zh-CN"/>
              </w:rPr>
              <w:t xml:space="preserve">城域网出口服务</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900000</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val="0"/>
                <w:bCs w:val="0"/>
                <w:sz w:val="28"/>
                <w:szCs w:val="28"/>
                <w:lang w:val="en-US" w:eastAsia="zh-CN"/>
              </w:rPr>
              <w:suppressLineNumbers w:val="0"/>
            </w:pPr>
            <w:r>
              <w:rPr>
                <w:rFonts w:hint="eastAsia" w:ascii="宋体" w:hAnsi="宋体" w:eastAsia="宋体" w:cs="宋体"/>
                <w:b w:val="0"/>
                <w:bCs w:val="0"/>
                <w:sz w:val="28"/>
                <w:szCs w:val="28"/>
                <w:lang w:val="en-US" w:eastAsia="zh-CN"/>
              </w:rPr>
              <w:t xml:space="preserve">网站集群用云主机、云存储，云WAF安全防护服务</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600000</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val="0"/>
                <w:bCs w:val="0"/>
                <w:sz w:val="28"/>
                <w:szCs w:val="28"/>
                <w:lang w:val="en-US" w:eastAsia="zh-CN"/>
              </w:rPr>
              <w:suppressLineNumbers w:val="0"/>
            </w:pPr>
            <w:r>
              <w:rPr>
                <w:rFonts w:hint="eastAsia" w:ascii="宋体" w:hAnsi="宋体" w:eastAsia="宋体" w:cs="宋体"/>
                <w:b w:val="0"/>
                <w:bCs w:val="0"/>
                <w:sz w:val="28"/>
                <w:szCs w:val="28"/>
                <w:lang w:val="en-US" w:eastAsia="zh-CN"/>
              </w:rPr>
              <w:t xml:space="preserve">僵木蠕防范、上网行为监测、防翻墙服务</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800000</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b w:val="0"/>
                <w:bCs w:val="0"/>
                <w:sz w:val="28"/>
                <w:szCs w:val="28"/>
                <w:lang w:val="en-US" w:eastAsia="zh-CN"/>
              </w:rPr>
              <w:suppressLineNumbers w:val="0"/>
            </w:pPr>
            <w:r>
              <w:rPr>
                <w:rFonts w:hint="eastAsia" w:ascii="宋体" w:hAnsi="宋体" w:eastAsia="宋体" w:cs="宋体"/>
                <w:b w:val="0"/>
                <w:bCs w:val="0"/>
                <w:sz w:val="28"/>
                <w:szCs w:val="28"/>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8" w:type="pct"/>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5700000</w:t>
            </w:r>
            <w:r/>
          </w:p>
        </w:tc>
      </w:tr>
    </w:tbl>
    <w:p>
      <w:pPr>
        <w:numPr>
          <w:ilvl w:val="0"/>
          <w:numId w:val="0"/>
        </w:numPr>
        <w:ind w:firstLine="0"/>
        <w:jc w:val="left"/>
        <w:keepLines/>
        <w:keepNext/>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numPr>
          <w:ilvl w:val="0"/>
          <w:numId w:val="0"/>
        </w:numPr>
        <w:ind w:firstLine="562"/>
        <w:jc w:val="left"/>
        <w:keepLines/>
        <w:keepNext/>
        <w:pageBreakBefore w:val="0"/>
        <w:spacing w:line="440" w:lineRule="exact"/>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rPr>
        <w:t xml:space="preserve">四、其它要求</w:t>
      </w:r>
      <w:r/>
    </w:p>
    <w:p>
      <w:pPr>
        <w:ind w:firstLine="562"/>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bCs/>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因该系统为教育城域网主核心业务系统，为保障业务稳定，中标人应承诺在中标后30日内向招标人提供本次服务项目的所有内容，包含网络服务、出口服务、网站集群云服务等，若中标后无法履约的，招标人可自行解除合同并追究法律责任。</w:t>
      </w:r>
      <w:r>
        <w:rPr>
          <w:rFonts w:hint="eastAsia" w:ascii="宋体" w:hAnsi="宋体" w:eastAsia="宋体" w:cs="宋体"/>
          <w:b/>
          <w:bCs/>
          <w:color w:val="ff0000"/>
          <w:sz w:val="28"/>
          <w:szCs w:val="28"/>
          <w:lang w:val="en-US" w:eastAsia="zh-CN" w:bidi="ar-SA"/>
        </w:rPr>
        <w:t xml:space="preserve">注：提供承诺函（</w:t>
      </w:r>
      <w:r>
        <w:rPr>
          <w:rFonts w:hint="eastAsia" w:ascii="宋体" w:hAnsi="宋体" w:eastAsia="宋体" w:cs="宋体"/>
          <w:b/>
          <w:bCs/>
          <w:color w:val="ff0000"/>
          <w:sz w:val="28"/>
          <w:szCs w:val="28"/>
          <w:lang w:val="en-US" w:eastAsia="zh-CN" w:bidi="ar-SA"/>
        </w:rPr>
        <w:t xml:space="preserve">格式自拟</w:t>
      </w:r>
      <w:r>
        <w:rPr>
          <w:rFonts w:hint="eastAsia" w:ascii="宋体" w:hAnsi="宋体" w:eastAsia="宋体" w:cs="宋体"/>
          <w:b/>
          <w:bCs/>
          <w:color w:val="ff0000"/>
          <w:sz w:val="28"/>
          <w:szCs w:val="28"/>
          <w:lang w:val="en-US" w:eastAsia="zh-CN" w:bidi="ar-SA"/>
        </w:rPr>
        <w:t xml:space="preserve">）上传至</w:t>
      </w:r>
      <w:r>
        <w:rPr>
          <w:rFonts w:hint="eastAsia" w:ascii="宋体" w:hAnsi="宋体" w:eastAsia="宋体" w:cs="宋体"/>
          <w:b/>
          <w:bCs/>
          <w:color w:val="ff0000"/>
          <w:sz w:val="28"/>
          <w:szCs w:val="28"/>
          <w:lang w:val="en-US" w:eastAsia="zh-CN" w:bidi="ar-SA"/>
        </w:rPr>
        <w:t xml:space="preserve">“与评审相关的其他符合证明文件材料”模块中，否则作无效投标文件处理。</w:t>
      </w:r>
      <w:r/>
    </w:p>
    <w:p>
      <w:pPr>
        <w:ind w:firstLine="560"/>
        <w:spacing w:line="240" w:lineRule="auto"/>
        <w:rPr>
          <w:rFonts w:hint="eastAsia" w:eastAsia="宋体" w:cs="Times New Roman"/>
          <w:lang w:val="en-US" w:eastAsia="zh-CN"/>
        </w:rPr>
      </w:pPr>
      <w:r>
        <w:rPr>
          <w:rFonts w:hint="eastAsia" w:eastAsia="宋体" w:cs="Times New Roman"/>
          <w:lang w:val="en-US" w:eastAsia="zh-CN"/>
        </w:rPr>
      </w:r>
      <w:r/>
    </w:p>
    <w:p>
      <w:pPr>
        <w:pStyle w:val="942"/>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1"/>
          <w:numId w:val="3"/>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numPr>
          <w:ilvl w:val="0"/>
          <w:numId w:val="0"/>
        </w:numPr>
        <w:ind w:firstLine="562"/>
        <w:jc w:val="both"/>
        <w:pageBreakBefore w:val="0"/>
        <w:spacing w:line="360" w:lineRule="auto"/>
        <w:widowControl w:val="off"/>
        <w:rPr>
          <w:rFonts w:hint="eastAsia" w:ascii="宋体" w:hAnsi="宋体" w:eastAsia="宋体" w:cs="宋体"/>
          <w:b/>
          <w:sz w:val="28"/>
          <w:szCs w:val="28"/>
          <w:u w:val="none"/>
          <w:lang w:val="en-US" w:eastAsia="zh-CN" w:bidi="ar-SA"/>
        </w:rPr>
      </w:pPr>
      <w:r>
        <w:rPr>
          <w:rFonts w:hint="eastAsia" w:ascii="宋体" w:hAnsi="宋体" w:eastAsia="宋体" w:cs="宋体"/>
          <w:b/>
          <w:sz w:val="28"/>
          <w:szCs w:val="28"/>
          <w:lang w:val="en-US" w:eastAsia="zh-CN" w:bidi="ar-SA"/>
        </w:rPr>
        <w:t xml:space="preserve">服务期限：</w:t>
      </w:r>
      <w:r>
        <w:rPr>
          <w:rFonts w:hint="eastAsia" w:ascii="宋体" w:hAnsi="宋体" w:eastAsia="宋体" w:cs="宋体"/>
          <w:b/>
          <w:bCs/>
          <w:color w:val="1d41d5"/>
          <w:spacing w:val="8"/>
          <w:sz w:val="28"/>
          <w:szCs w:val="28"/>
          <w:u w:val="none"/>
          <w:lang w:val="en-US" w:eastAsia="zh-CN" w:bidi="ar-SA"/>
        </w:rPr>
        <w:t xml:space="preserve">本项目服务期限共三年，具体时间起始时间以合同签订为准；</w:t>
      </w:r>
      <w:r/>
    </w:p>
    <w:p>
      <w:pPr>
        <w:ind w:left="0" w:firstLine="562"/>
        <w:jc w:val="both"/>
        <w:pageBreakBefore w:val="0"/>
        <w:spacing w:line="360" w:lineRule="auto"/>
        <w:widowControl w:val="off"/>
        <w:rPr>
          <w:rFonts w:hint="default"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服务地点：</w:t>
      </w:r>
      <w:r>
        <w:rPr>
          <w:rFonts w:hint="eastAsia" w:ascii="宋体" w:hAnsi="宋体" w:eastAsia="宋体" w:cs="宋体"/>
          <w:b/>
          <w:bCs/>
          <w:color w:val="1d41d5"/>
          <w:spacing w:val="8"/>
          <w:sz w:val="28"/>
          <w:szCs w:val="28"/>
          <w:u w:val="none"/>
          <w:lang w:val="en-US" w:eastAsia="zh-CN" w:bidi="ar-SA"/>
        </w:rPr>
        <w:t xml:space="preserve">常州市金坛区</w:t>
      </w:r>
      <w:r/>
    </w:p>
    <w:p>
      <w:pPr>
        <w:pStyle w:val="1002"/>
        <w:numPr>
          <w:ilvl w:val="1"/>
          <w:numId w:val="3"/>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pageBreakBefore w:val="0"/>
        <w:spacing w:line="360" w:lineRule="auto"/>
        <w:rPr>
          <w:rFonts w:hint="default" w:ascii="宋体" w:hAnsi="宋体" w:eastAsia="宋体" w:cs="宋体"/>
          <w:color w:val="ff0000"/>
          <w:sz w:val="28"/>
          <w:szCs w:val="28"/>
          <w:lang w:val="en-US" w:eastAsia="zh-CN"/>
        </w:rPr>
      </w:pPr>
      <w:r>
        <w:rPr>
          <w:rFonts w:hint="eastAsia" w:ascii="宋体" w:hAnsi="宋体" w:cs="宋体"/>
          <w:color w:val="ff0000"/>
          <w:sz w:val="28"/>
          <w:szCs w:val="28"/>
          <w:lang w:val="en-US" w:eastAsia="zh-CN"/>
        </w:rPr>
        <w:t xml:space="preserve">按月付款</w:t>
      </w:r>
      <w:r>
        <w:rPr>
          <w:rFonts w:hint="eastAsia" w:ascii="宋体" w:hAnsi="宋体" w:eastAsia="宋体" w:cs="宋体"/>
          <w:color w:val="ff0000"/>
          <w:sz w:val="28"/>
          <w:szCs w:val="28"/>
          <w:lang w:val="en-US" w:eastAsia="zh-CN"/>
        </w:rPr>
        <w:t xml:space="preserve">。</w:t>
      </w:r>
      <w:r/>
    </w:p>
    <w:p>
      <w:pPr>
        <w:ind w:left="0"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4.履约验收</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按甲方要求完成上述网络接入工作，工作要求以投标文件中提供的工作标准为依据。并参照《江苏省政府采购履约验收管理办法》及投标人的投标文件中的实施方案进行综合考核验收。本项目质量要求不得低于工业和信息化部颁布的《通信行业服务质量标准》。</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1.符合工业和信息化部《基于网络的虚拟IP专用网（IP-VPN）框架》的要求，MPLS VPN业务应实现网络隔离、路由隔离和标签隔离，保障不同VPN之间的数据安全与业务独立。</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2.互联网专线业务上下行速率应达到签约带宽的90％以上，至网内热点网站的Ping时延≤50ms，丢包率≤2％，平均故障恢复时间≤4小时。</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3.IP-VPN业务应满足《电信服务规范》因特网数据传送业务的通信质量指标：IP包传输往返时延平均值≤200ms，时延变化平均值≤80ms，丢失率平均值≤2％，业务可用性≥99.9％。</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4.租用光纤的衰减标准参数为小于等于每公里0.25dBm，全程物理链路衰减标准为20公里以内不超过20db，40公里以内不超过30db；</w:t>
      </w:r>
      <w:r/>
    </w:p>
    <w:p>
      <w:pPr>
        <w:ind w:firstLine="560"/>
        <w:jc w:val="both"/>
        <w:keepLines w:val="0"/>
        <w:keepNext w:val="0"/>
        <w:pageBreakBefore w:val="0"/>
        <w:spacing w:line="440" w:lineRule="exact"/>
        <w:widowControl w:val="off"/>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5.电路通路全年可用率平均达到99.9％。</w:t>
      </w:r>
      <w:r/>
    </w:p>
    <w:p>
      <w:pPr>
        <w:rPr>
          <w:rFonts w:hint="eastAsia"/>
        </w:rPr>
      </w:pPr>
      <w:r>
        <w:rPr>
          <w:rFonts w:hint="eastAsia"/>
        </w:rPr>
      </w:r>
      <w:r/>
    </w:p>
    <w:p>
      <w:pPr>
        <w:pStyle w:val="940"/>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949"/>
        <w:ind w:firstLine="523"/>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p>
    <w:p>
      <w:pPr>
        <w:pStyle w:val="949"/>
        <w:ind w:firstLine="448"/>
        <w:spacing w:before="60" w:after="60"/>
        <w:rPr>
          <w:rFonts w:ascii="宋体" w:hAnsi="宋体"/>
          <w:szCs w:val="21"/>
        </w:rPr>
      </w:pPr>
      <w:r>
        <w:rPr>
          <w:rFonts w:ascii="宋体" w:hAnsi="宋体"/>
          <w:szCs w:val="21"/>
        </w:rPr>
      </w:r>
      <w:r/>
    </w:p>
    <w:p>
      <w:pPr>
        <w:pStyle w:val="1002"/>
        <w:rPr>
          <w:rFonts w:hint="default"/>
          <w:lang w:val="en-US" w:eastAsia="zh-CN"/>
        </w:rPr>
      </w:pPr>
      <w:r>
        <w:rPr>
          <w:rFonts w:hint="default"/>
          <w:lang w:val="en-US" w:eastAsia="zh-CN"/>
        </w:rPr>
      </w:r>
      <w:r/>
    </w:p>
    <w:p>
      <w:pPr>
        <w:pStyle w:val="946"/>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946"/>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bookmarkEnd w:id="5"/>
      <w:bookmarkEnd w:id="6"/>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941"/>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left="0" w:firstLine="0"/>
        <w:jc w:val="center"/>
        <w:spacing w:line="560" w:lineRule="exact"/>
        <w:rPr>
          <w:rFonts w:hint="default" w:ascii="楷体_GB2312" w:hAnsi="宋体" w:eastAsia="楷体_GB2312" w:cs="宋体"/>
          <w:b/>
          <w:bCs/>
          <w:sz w:val="44"/>
          <w:szCs w:val="44"/>
          <w:lang w:val="en-US" w:eastAsia="zh-CN" w:bidi="ar-SA"/>
        </w:rPr>
      </w:pPr>
      <w:r>
        <w:rPr>
          <w:rFonts w:hint="eastAsia" w:ascii="宋体" w:hAnsi="宋体" w:eastAsia="宋体" w:cs="宋体"/>
          <w:b/>
          <w:bCs/>
          <w:sz w:val="28"/>
          <w:szCs w:val="28"/>
          <w:lang w:val="en-US" w:eastAsia="zh-CN"/>
        </w:rPr>
        <w:t xml:space="preserve">      </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880"/>
        <w:jc w:val="center"/>
        <w:spacing w:line="570" w:lineRule="exact"/>
        <w:rPr>
          <w:rFonts w:ascii="方正小标宋简体" w:hAnsi="宋体" w:eastAsia="方正小标宋简体" w:cs="Times New Roman"/>
          <w:bCs/>
          <w:color w:val="0d1e0f"/>
          <w:sz w:val="44"/>
          <w:szCs w:val="44"/>
        </w:rPr>
        <w:outlineLvl w:val="0"/>
      </w:pPr>
      <w:r>
        <w:rPr>
          <w:rFonts w:hint="eastAsia" w:ascii="方正小标宋简体" w:hAnsi="宋体" w:eastAsia="方正小标宋简体" w:cs="Times New Roman"/>
          <w:color w:val="0d1e0f"/>
          <w:sz w:val="44"/>
          <w:szCs w:val="44"/>
        </w:rPr>
        <w:t xml:space="preserve">常州市政府采购合同（服务）（合同编号）</w:t>
      </w:r>
      <w:r/>
    </w:p>
    <w:p>
      <w:pPr>
        <w:ind w:firstLine="0"/>
        <w:jc w:val="both"/>
        <w:spacing w:before="120" w:after="120" w:line="570" w:lineRule="exact"/>
        <w:widowControl w:val="off"/>
        <w:rPr>
          <w:rFonts w:ascii="仿宋_GB2312" w:hAnsi="宋体" w:eastAsia="仿宋_GB2312" w:cs="Times New Roman"/>
          <w:color w:val="auto"/>
          <w:sz w:val="32"/>
          <w:szCs w:val="32"/>
          <w:lang w:val="en-US" w:eastAsia="zh-CN" w:bidi="ar-SA"/>
        </w:rPr>
      </w:pPr>
      <w:r>
        <w:rPr>
          <w:rFonts w:ascii="仿宋_GB2312" w:hAnsi="宋体" w:eastAsia="仿宋_GB2312" w:cs="Times New Roman"/>
          <w:color w:val="auto"/>
          <w:sz w:val="32"/>
          <w:szCs w:val="32"/>
          <w:lang w:val="en-US" w:eastAsia="zh-CN" w:bidi="ar-SA"/>
        </w:rPr>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项目名称：</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项目编号：</w:t>
      </w:r>
      <w:r/>
    </w:p>
    <w:p>
      <w:pPr>
        <w:ind w:firstLine="560"/>
        <w:spacing w:line="570" w:lineRule="exact"/>
        <w:rPr>
          <w:rFonts w:hint="default" w:ascii="宋体" w:hAnsi="宋体" w:eastAsia="宋体" w:cs="宋体"/>
          <w:color w:val="0d1e0f"/>
          <w:sz w:val="28"/>
          <w:szCs w:val="28"/>
          <w:lang w:val="en-US" w:eastAsia="zh-CN"/>
        </w:rPr>
      </w:pPr>
      <w:r>
        <w:rPr>
          <w:rFonts w:hint="eastAsia" w:ascii="宋体" w:hAnsi="宋体" w:eastAsia="宋体" w:cs="宋体"/>
          <w:color w:val="0d1e0f"/>
          <w:sz w:val="28"/>
          <w:szCs w:val="28"/>
          <w:lang w:val="en-US" w:eastAsia="zh-CN"/>
        </w:rPr>
        <w:t xml:space="preserve">项目包号：</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甲方：（买方）_________</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乙方：（卖方）_________</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甲、乙双方根据常州市</w:t>
      </w:r>
      <w:r>
        <w:rPr>
          <w:rFonts w:hint="eastAsia" w:ascii="宋体" w:hAnsi="宋体" w:eastAsia="宋体" w:cs="宋体"/>
          <w:color w:val="0d1e0f"/>
          <w:sz w:val="28"/>
          <w:szCs w:val="28"/>
          <w:lang w:val="en-US" w:eastAsia="zh-CN"/>
        </w:rPr>
        <w:t xml:space="preserve">金坛区</w:t>
      </w:r>
      <w:r>
        <w:rPr>
          <w:rFonts w:hint="eastAsia" w:ascii="宋体" w:hAnsi="宋体" w:eastAsia="宋体" w:cs="宋体"/>
          <w:color w:val="0d1e0f"/>
          <w:sz w:val="28"/>
          <w:szCs w:val="28"/>
        </w:rPr>
        <w:t xml:space="preserve">政府采购中心项目</w:t>
      </w:r>
      <w:r>
        <w:rPr>
          <w:rFonts w:hint="eastAsia" w:ascii="宋体" w:hAnsi="宋体" w:eastAsia="宋体" w:cs="宋体"/>
          <w:color w:val="0d1e0f"/>
          <w:sz w:val="28"/>
          <w:szCs w:val="28"/>
          <w:u w:val="single"/>
          <w:lang w:val="en-US" w:eastAsia="zh-CN"/>
        </w:rPr>
        <w:t xml:space="preserve">              </w:t>
      </w:r>
      <w:r>
        <w:rPr>
          <w:rFonts w:hint="eastAsia" w:ascii="宋体" w:hAnsi="宋体" w:cs="宋体"/>
          <w:color w:val="0d1e0f"/>
          <w:sz w:val="28"/>
          <w:szCs w:val="28"/>
          <w:lang w:val="en-US" w:eastAsia="zh-CN"/>
        </w:rPr>
        <w:t xml:space="preserve">公开招标</w:t>
      </w:r>
      <w:r>
        <w:rPr>
          <w:rFonts w:hint="eastAsia" w:ascii="宋体" w:hAnsi="宋体" w:eastAsia="宋体" w:cs="宋体"/>
          <w:color w:val="0d1e0f"/>
          <w:sz w:val="28"/>
          <w:szCs w:val="28"/>
        </w:rPr>
        <w:t xml:space="preserve">的结果，签署本合同。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一、合同内容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 标的名称：</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1.2标的质量：</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 标的数量（规模）：</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 履行时间（期限）：</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1.5 履行地点：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1.6履行方式：</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二、合同金额</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2.1本合同金额为（大写）：___________________________元整（_______________元）人民币或其他币种。</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三、技术资料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3.1乙方应按招标文件规定的时间向甲方提供服务（包含与服务相关的货物）的有关技术资料。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四、知识产权</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jc w:val="both"/>
        <w:spacing w:line="570" w:lineRule="exact"/>
        <w:widowControl w:val="off"/>
        <w:rPr>
          <w:rFonts w:hint="eastAsia" w:ascii="宋体" w:hAnsi="宋体" w:eastAsia="宋体" w:cs="宋体"/>
          <w:color w:val="0d1e0f"/>
          <w:sz w:val="28"/>
          <w:szCs w:val="28"/>
          <w:u w:val="single"/>
          <w:lang w:val="en-US" w:eastAsia="zh-CN" w:bidi="ar-SA"/>
        </w:rPr>
      </w:pPr>
      <w:r>
        <w:rPr>
          <w:rFonts w:hint="eastAsia" w:ascii="宋体" w:hAnsi="宋体" w:eastAsia="宋体" w:cs="宋体"/>
          <w:color w:val="0d1e0f"/>
          <w:sz w:val="28"/>
          <w:szCs w:val="28"/>
          <w:lang w:val="en-US" w:eastAsia="zh-CN" w:bidi="ar-SA"/>
        </w:rPr>
        <w:t xml:space="preserve">五、产权担保</w:t>
      </w:r>
      <w:r/>
    </w:p>
    <w:p>
      <w:pPr>
        <w:ind w:firstLine="560"/>
        <w:spacing w:line="570" w:lineRule="exact"/>
        <w:rPr>
          <w:rFonts w:hint="eastAsia" w:ascii="宋体" w:hAnsi="宋体" w:eastAsia="宋体" w:cs="宋体"/>
          <w:color w:val="0d1e0f"/>
          <w:sz w:val="28"/>
          <w:szCs w:val="28"/>
          <w:u w:val="single"/>
        </w:rPr>
      </w:pPr>
      <w:r>
        <w:rPr>
          <w:rFonts w:hint="eastAsia" w:ascii="宋体" w:hAnsi="宋体" w:eastAsia="宋体" w:cs="宋体"/>
          <w:color w:val="0d1e0f"/>
          <w:sz w:val="28"/>
          <w:szCs w:val="28"/>
        </w:rPr>
        <w:t xml:space="preserve">5.1乙方保证所交付的服务（包含与服务相关的货物）的所有权完全属于乙方且无任何抵押、查封等产权瑕疵。</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六、履约保证金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w:t>
      </w:r>
      <w:r>
        <w:rPr>
          <w:rFonts w:hint="eastAsia" w:ascii="宋体" w:hAnsi="宋体" w:eastAsia="宋体" w:cs="宋体"/>
          <w:color w:val="0d1e0f"/>
          <w:sz w:val="28"/>
          <w:szCs w:val="28"/>
          <w:u w:val="single"/>
        </w:rPr>
        <w:t xml:space="preserve">不收取</w:t>
      </w:r>
      <w:r>
        <w:rPr>
          <w:rFonts w:hint="eastAsia" w:ascii="宋体" w:hAnsi="宋体" w:eastAsia="宋体" w:cs="宋体"/>
          <w:color w:val="0d1e0f"/>
          <w:sz w:val="28"/>
          <w:szCs w:val="28"/>
        </w:rPr>
        <w:t xml:space="preserve">履约保证金。</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七、合同转包或分包</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7.1 乙方不得将合同标的转包给他人履行。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7.2 乙方不得将合同标的分包给他人履行。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7.3 乙方如有转包或未经甲方同意的分包行为，甲方有权解除合同。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八、合同款项支付</w:t>
      </w:r>
      <w:r/>
    </w:p>
    <w:p>
      <w:pPr>
        <w:ind w:firstLine="560"/>
        <w:pageBreakBefore w:val="0"/>
        <w:spacing w:line="360" w:lineRule="auto"/>
        <w:rPr>
          <w:rFonts w:hint="default" w:ascii="宋体" w:hAnsi="宋体" w:eastAsia="宋体" w:cs="宋体"/>
          <w:color w:val="0d1e0f"/>
          <w:sz w:val="28"/>
          <w:szCs w:val="28"/>
          <w:lang w:val="en-US"/>
        </w:rPr>
      </w:pPr>
      <w:r>
        <w:rPr>
          <w:rFonts w:hint="eastAsia" w:ascii="宋体" w:hAnsi="宋体" w:eastAsia="宋体" w:cs="宋体"/>
          <w:color w:val="0d1e0f"/>
          <w:sz w:val="28"/>
          <w:szCs w:val="28"/>
        </w:rPr>
        <w:t xml:space="preserve">8.1分期付款：</w:t>
      </w:r>
      <w:r>
        <w:rPr>
          <w:rFonts w:hint="eastAsia" w:ascii="宋体" w:hAnsi="宋体" w:cs="宋体"/>
          <w:color w:val="ff0000"/>
          <w:sz w:val="28"/>
          <w:szCs w:val="28"/>
          <w:lang w:val="en-US" w:eastAsia="zh-CN"/>
        </w:rPr>
        <w:t xml:space="preserve">按月付款。</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九、税费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9.1 本合同执行中相关的一切税费均由乙方负担。</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十、项目验收</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10.1甲方依法组织履约验收工作。</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10.3对于实际使用人和甲方分离的项目，甲方邀请实际使用人参与验收。</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10.4如有必要，甲方邀请参加本项目的其他供应商或第三方专业机构及专家参与验收，相关意见将作为验收书的参考资料。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十一、违约责任</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11.1甲方无正当理由拒绝接受乙方提供服务的，甲方向乙方偿付拒绝接受服务合同价款总值的违约金。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11.2甲方无故逾期验收和办理合同款项支付手续的,甲方应按逾期付款总额每日向乙方支付违约金。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11.4乙方所提供服务的标准不符合合同规定及招标文件规定标准的，甲方有权拒绝接受服务，并可单方面解除合同。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十二、不可抗力事件处理</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12.1在合同有效期内，任何一方因不可抗力事件导致不能履行合同，则合同履行期可延长，其延长期与不可抗力影响期相同。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12.2不可抗力事件发生后，应立即通知对方，并寄送有关权威机构出具的证明。</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12.3不可抗力事件延续120天以上，双方应通过友好协商，确定是否继续履行合同。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十三、解决争议的方法</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13.1双方在签订、履行合同中所发生的一切争议，应通过友好协商解决。如协商不成，由甲方住所地人民法院管辖。</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十四、合同生效及其他</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14.1合同经双方法定代表人或授权委托代表人签字并加盖单位公章后生效。</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14.2本合同未尽事宜，遵照《中华人民共和国民法典》《中华人民共和国政府采购法》有关条文执行。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14.3本合同正本一式两份，具有同等法律效力，甲方、乙方各执一份。</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乙方：</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地址：</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地址：</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法定代表人或授权代表：</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法定代表人或授权代表：</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联系电话：</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联系电话：</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签订日期：</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年</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月</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日</w:t>
      </w:r>
      <w:bookmarkStart w:id="42" w:name="_Hlt16619369"/>
      <w:r/>
      <w:bookmarkEnd w:id="42"/>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p>
    <w:p>
      <w:pPr>
        <w:pStyle w:val="941"/>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cs="宋体"/>
                <w:b/>
                <w:bCs/>
                <w:color w:val="1d41d5"/>
                <w:spacing w:val="8"/>
                <w:szCs w:val="28"/>
                <w:u w:val="single"/>
              </w:rPr>
              <w:suppressLineNumbers w:val="0"/>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942"/>
              <w:ind w:left="0" w:right="0" w:firstLine="0"/>
              <w:jc w:val="left"/>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3" w:name="_Toc28025"/>
      <w:r/>
      <w:bookmarkStart w:id="44" w:name="_Toc21548"/>
      <w:r/>
      <w:bookmarkStart w:id="45" w:name="_Toc7710"/>
      <w:r/>
      <w:bookmarkStart w:id="46" w:name="_Toc17140"/>
      <w:r/>
      <w:bookmarkStart w:id="47" w:name="_Toc9364"/>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42"/>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投标人名称 ：               </w:t>
      </w:r>
      <w:r/>
    </w:p>
    <w:p>
      <w:pPr>
        <w:ind w:firstLine="1687"/>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rPr>
          <w:rFonts w:hint="eastAsia" w:ascii="宋体" w:hAnsi="宋体" w:eastAsia="宋体" w:cs="宋体"/>
          <w:szCs w:val="28"/>
          <w:lang w:val="en-US" w:eastAsia="zh-CN"/>
        </w:rPr>
      </w:pPr>
      <w:r>
        <w:rPr>
          <w:rFonts w:hint="eastAsia" w:ascii="宋体" w:hAnsi="宋体" w:eastAsia="宋体" w:cs="宋体"/>
          <w:sz w:val="28"/>
          <w:szCs w:val="28"/>
          <w:lang w:val="en-US" w:eastAsia="zh-CN"/>
        </w:rPr>
        <w:t xml:space="preserve">日      期 ：</w:t>
      </w:r>
      <w:r>
        <w:rPr>
          <w:rFonts w:hint="eastAsia"/>
          <w:lang w:val="en-US" w:eastAsia="zh-CN"/>
        </w:rPr>
        <w:t xml:space="preserve">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2"/>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59"/>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42"/>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968"/>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959"/>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59"/>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ind w:firstLine="1400"/>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942"/>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致：常州市金坛区教育基本建设与装备管理中心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959"/>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9"/>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959"/>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942"/>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59"/>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959"/>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959"/>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959"/>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959"/>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959"/>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942"/>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9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942"/>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45"/>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959"/>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959"/>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959"/>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42"/>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r>
        <w:rPr>
          <w:rFonts w:hint="eastAsia" w:ascii="宋体" w:hAnsi="宋体" w:eastAsia="宋体" w:cs="宋体"/>
          <w:sz w:val="28"/>
          <w:szCs w:val="28"/>
          <w:lang w:val="en-US" w:eastAsia="zh-CN"/>
        </w:rPr>
      </w:r>
      <w:r/>
      <w:r>
        <w:rPr>
          <w:rFonts w:hint="eastAsia" w:ascii="黑体" w:hAnsi="黑体" w:eastAsia="黑体" w:cs="黑体"/>
          <w:sz w:val="44"/>
          <w:szCs w:val="44"/>
          <w:lang w:val="en-US" w:eastAsia="zh-CN"/>
        </w:rPr>
      </w:r>
    </w:p>
    <w:tbl>
      <w:tblPr>
        <w:tblStyle w:val="94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566"/>
        <w:gridCol w:w="1995"/>
        <w:gridCol w:w="1425"/>
        <w:gridCol w:w="854"/>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8" w:name="_Hlk72092651"/>
            <w:r>
              <w:rPr>
                <w:rFonts w:hint="eastAsia" w:ascii="宋体" w:hAnsi="宋体" w:eastAsia="宋体" w:cs="宋体"/>
                <w:sz w:val="28"/>
                <w:szCs w:val="28"/>
              </w:rPr>
              <w:t xml:space="preserve">序号</w:t>
            </w:r>
            <w:r/>
          </w:p>
        </w:tc>
        <w:tc>
          <w:tcPr>
            <w:tcW w:w="456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42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8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8"/>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W w:w="4566" w:type="dxa"/>
            <w:vAlign w:val="top"/>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1995"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25"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54"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cs="宋体"/>
                <w:bCs/>
                <w:sz w:val="28"/>
                <w:szCs w:val="28"/>
                <w:lang w:val="en-US" w:eastAsia="zh-CN"/>
              </w:rPr>
              <w:t xml:space="preserve">2</w:t>
            </w:r>
            <w:r/>
          </w:p>
        </w:tc>
        <w:tc>
          <w:tcPr>
            <w:tcW w:w="4566"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val="0"/>
                <w:bCs w:val="0"/>
                <w:sz w:val="28"/>
                <w:szCs w:val="28"/>
                <w:lang w:val="en-US" w:eastAsia="zh-CN" w:bidi="ar-SA"/>
              </w:rPr>
              <w:t xml:space="preserve">因</w:t>
            </w:r>
            <w:bookmarkStart w:id="50" w:name="_GoBack"/>
            <w:r/>
            <w:bookmarkEnd w:id="50"/>
            <w:r>
              <w:rPr>
                <w:rFonts w:hint="eastAsia" w:ascii="宋体" w:hAnsi="宋体" w:eastAsia="宋体" w:cs="宋体"/>
                <w:b w:val="0"/>
                <w:bCs w:val="0"/>
                <w:sz w:val="28"/>
                <w:szCs w:val="28"/>
                <w:lang w:val="en-US" w:eastAsia="zh-CN" w:bidi="ar-SA"/>
              </w:rPr>
              <w:t xml:space="preserve">该系统为教育城域网主核心业务系统，为保障业务稳定，中标人应承诺在中标后30日内向招标人提供本次服务项目的所有内容，包含网络服务、出口服务、网站集群云服务等，若中标后无法履约的，招标人可自行解除合同并追究法律责任。</w:t>
            </w:r>
            <w:r>
              <w:rPr>
                <w:rFonts w:hint="eastAsia" w:ascii="宋体" w:hAnsi="宋体" w:eastAsia="宋体" w:cs="宋体"/>
                <w:b/>
                <w:bCs/>
                <w:color w:val="ff0000"/>
                <w:sz w:val="28"/>
                <w:szCs w:val="28"/>
                <w:lang w:val="en-US" w:eastAsia="zh-CN" w:bidi="ar-SA"/>
              </w:rPr>
              <w:t xml:space="preserve">注：提供承诺函（格式自拟）上传至“与评审相关的其他符合证明文件材料”模块中，否则作无效投标文件处理。</w:t>
            </w:r>
            <w:r/>
          </w:p>
        </w:tc>
        <w:tc>
          <w:tcPr>
            <w:tcW w:w="1995"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25"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54"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firstLine="1687"/>
        <w:jc w:val="cente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942"/>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9" w:name="_Ref493492102"/>
      <w:r/>
      <w:r/>
    </w:p>
    <w:p>
      <w:pPr>
        <w:pStyle w:val="959"/>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959"/>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9"/>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常州市金坛区教育基本建设与装备管理中心 </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45"/>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959"/>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942"/>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5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5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959"/>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59"/>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95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5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2"/>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003"/>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959"/>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59"/>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5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2"/>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pStyle w:val="942"/>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95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321"/>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t xml:space="preserve">《承诺函》</w:t>
      </w:r>
      <w:r/>
    </w:p>
    <w:p>
      <w:pPr>
        <w:ind w:left="0" w:right="0" w:firstLine="643"/>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right="0" w:firstLine="643"/>
        <w:jc w:val="left"/>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r>
      <w:r/>
    </w:p>
    <w:p>
      <w:pPr>
        <w:ind w:left="0" w:right="0" w:firstLine="562"/>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bCs/>
          <w:color w:val="ff0000"/>
          <w:sz w:val="28"/>
          <w:szCs w:val="28"/>
          <w:u w:val="none"/>
          <w:lang w:val="en-US" w:eastAsia="zh-CN" w:bidi="ar-SA"/>
        </w:rPr>
        <w:t xml:space="preserve">注：根据第五章采购需求要求提供《承诺函》（格式自拟）上传至“与评审相关的其他符合证明文件材料”模块中，否则作无效投标文件处理！</w:t>
      </w:r>
      <w:r/>
    </w:p>
    <w:p>
      <w:pPr>
        <w:pStyle w:val="95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5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59"/>
        <w:ind w:left="0" w:right="0" w:firstLine="883"/>
        <w:keepLines w:val="0"/>
        <w:keepNext w:val="0"/>
        <w:pageBreakBefore w:val="0"/>
        <w:spacing w:before="0" w:beforeAutospacing="0" w:after="0" w:afterAutospacing="0" w:line="360"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br w:type="page" w:clear="all"/>
      </w:r>
      <w:r/>
    </w:p>
    <w:p>
      <w:pPr>
        <w:pStyle w:val="942"/>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firstLine="0"/>
        <w:rPr>
          <w:rFonts w:hint="eastAsia"/>
          <w:lang w:val="en-US" w:eastAsia="zh-CN"/>
        </w:rPr>
      </w:pPr>
      <w:r>
        <w:rPr>
          <w:rFonts w:hint="eastAsia"/>
          <w:lang w:val="en-US" w:eastAsia="zh-CN"/>
        </w:rPr>
        <w:t xml:space="preserve">     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3"/>
      <w:r/>
      <w:bookmarkEnd w:id="44"/>
      <w:r/>
      <w:bookmarkEnd w:id="45"/>
      <w:r/>
      <w:bookmarkEnd w:id="46"/>
      <w:r/>
      <w:bookmarkEnd w:id="47"/>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5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Fonts w:hint="eastAsia"/>
      </w:rPr>
    </w:pPr>
    <w:r>
      <w:rPr>
        <w:rFonts w:hint="eastAsia"/>
      </w:rPr>
    </w:r>
    <w:r/>
  </w:p>
  <w:p>
    <w:pPr>
      <w:pStyle w:val="957"/>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Fonts w:hint="eastAsia"/>
      </w:rPr>
    </w:pPr>
    <w:r>
      <w:rPr>
        <w:rFonts w:hint="eastAsia"/>
      </w:rPr>
    </w:r>
    <w:r/>
  </w:p>
  <w:p>
    <w:pPr>
      <w:pStyle w:val="957"/>
      <w:rPr>
        <w:rFonts w:hint="eastAsia"/>
      </w:rPr>
    </w:pPr>
    <w:r>
      <w:rPr>
        <w:rFonts w:hint="eastAsia"/>
      </w:rPr>
    </w:r>
    <w:r/>
  </w:p>
  <w:p>
    <w:pPr>
      <w:pStyle w:val="957"/>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2">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4"/>
    <w:link w:val="940"/>
    <w:uiPriority w:val="9"/>
    <w:rPr>
      <w:rFonts w:ascii="Arial" w:hAnsi="Arial" w:eastAsia="Arial" w:cs="Arial"/>
      <w:sz w:val="40"/>
      <w:szCs w:val="40"/>
    </w:rPr>
  </w:style>
  <w:style w:type="character" w:styleId="15">
    <w:name w:val="Heading 2 Char"/>
    <w:basedOn w:val="944"/>
    <w:link w:val="941"/>
    <w:uiPriority w:val="9"/>
    <w:rPr>
      <w:rFonts w:ascii="Arial" w:hAnsi="Arial" w:eastAsia="Arial" w:cs="Arial"/>
      <w:sz w:val="34"/>
    </w:rPr>
  </w:style>
  <w:style w:type="character" w:styleId="17">
    <w:name w:val="Heading 3 Char"/>
    <w:basedOn w:val="944"/>
    <w:link w:val="942"/>
    <w:uiPriority w:val="9"/>
    <w:rPr>
      <w:rFonts w:ascii="Arial" w:hAnsi="Arial" w:eastAsia="Arial" w:cs="Arial"/>
      <w:sz w:val="30"/>
      <w:szCs w:val="30"/>
    </w:rPr>
  </w:style>
  <w:style w:type="character" w:styleId="19">
    <w:name w:val="Heading 4 Char"/>
    <w:basedOn w:val="944"/>
    <w:link w:val="943"/>
    <w:uiPriority w:val="9"/>
    <w:rPr>
      <w:rFonts w:ascii="Arial" w:hAnsi="Arial" w:eastAsia="Arial" w:cs="Arial"/>
      <w:b/>
      <w:bCs/>
      <w:sz w:val="26"/>
      <w:szCs w:val="26"/>
    </w:rPr>
  </w:style>
  <w:style w:type="paragraph" w:styleId="20">
    <w:name w:val="Heading 5"/>
    <w:basedOn w:val="939"/>
    <w:next w:val="9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44"/>
    <w:link w:val="20"/>
    <w:uiPriority w:val="9"/>
    <w:rPr>
      <w:rFonts w:ascii="Arial" w:hAnsi="Arial" w:eastAsia="Arial" w:cs="Arial"/>
      <w:b/>
      <w:bCs/>
      <w:sz w:val="24"/>
      <w:szCs w:val="24"/>
    </w:rPr>
  </w:style>
  <w:style w:type="paragraph" w:styleId="22">
    <w:name w:val="Heading 6"/>
    <w:basedOn w:val="939"/>
    <w:next w:val="9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44"/>
    <w:link w:val="22"/>
    <w:uiPriority w:val="9"/>
    <w:rPr>
      <w:rFonts w:ascii="Arial" w:hAnsi="Arial" w:eastAsia="Arial" w:cs="Arial"/>
      <w:b/>
      <w:bCs/>
      <w:sz w:val="22"/>
      <w:szCs w:val="22"/>
    </w:rPr>
  </w:style>
  <w:style w:type="paragraph" w:styleId="24">
    <w:name w:val="Heading 7"/>
    <w:basedOn w:val="939"/>
    <w:next w:val="9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44"/>
    <w:link w:val="24"/>
    <w:uiPriority w:val="9"/>
    <w:rPr>
      <w:rFonts w:ascii="Arial" w:hAnsi="Arial" w:eastAsia="Arial" w:cs="Arial"/>
      <w:b/>
      <w:bCs/>
      <w:i/>
      <w:iCs/>
      <w:sz w:val="22"/>
      <w:szCs w:val="22"/>
    </w:rPr>
  </w:style>
  <w:style w:type="paragraph" w:styleId="26">
    <w:name w:val="Heading 8"/>
    <w:basedOn w:val="939"/>
    <w:next w:val="9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44"/>
    <w:link w:val="26"/>
    <w:uiPriority w:val="9"/>
    <w:rPr>
      <w:rFonts w:ascii="Arial" w:hAnsi="Arial" w:eastAsia="Arial" w:cs="Arial"/>
      <w:i/>
      <w:iCs/>
      <w:sz w:val="22"/>
      <w:szCs w:val="22"/>
    </w:rPr>
  </w:style>
  <w:style w:type="paragraph" w:styleId="28">
    <w:name w:val="Heading 9"/>
    <w:basedOn w:val="939"/>
    <w:next w:val="9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44"/>
    <w:link w:val="947"/>
    <w:uiPriority w:val="10"/>
    <w:rPr>
      <w:sz w:val="48"/>
      <w:szCs w:val="48"/>
    </w:rPr>
  </w:style>
  <w:style w:type="paragraph" w:styleId="35">
    <w:name w:val="Subtitle"/>
    <w:basedOn w:val="939"/>
    <w:next w:val="939"/>
    <w:link w:val="36"/>
    <w:uiPriority w:val="11"/>
    <w:qFormat/>
    <w:pPr>
      <w:spacing w:before="200" w:after="200"/>
    </w:pPr>
    <w:rPr>
      <w:sz w:val="24"/>
      <w:szCs w:val="24"/>
    </w:rPr>
  </w:style>
  <w:style w:type="character" w:styleId="36">
    <w:name w:val="Subtitle Char"/>
    <w:basedOn w:val="944"/>
    <w:link w:val="35"/>
    <w:uiPriority w:val="11"/>
    <w:rPr>
      <w:sz w:val="24"/>
      <w:szCs w:val="24"/>
    </w:rPr>
  </w:style>
  <w:style w:type="character" w:styleId="38">
    <w:name w:val="Quote Char"/>
    <w:link w:val="1002"/>
    <w:uiPriority w:val="29"/>
    <w:rPr>
      <w:i/>
    </w:rPr>
  </w:style>
  <w:style w:type="paragraph" w:styleId="39">
    <w:name w:val="Intense Quote"/>
    <w:basedOn w:val="939"/>
    <w:next w:val="9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44"/>
    <w:link w:val="957"/>
    <w:uiPriority w:val="99"/>
  </w:style>
  <w:style w:type="character" w:styleId="44">
    <w:name w:val="Footer Char"/>
    <w:basedOn w:val="944"/>
    <w:link w:val="956"/>
    <w:uiPriority w:val="99"/>
  </w:style>
  <w:style w:type="paragraph" w:styleId="45">
    <w:name w:val="Caption"/>
    <w:basedOn w:val="939"/>
    <w:next w:val="939"/>
    <w:uiPriority w:val="35"/>
    <w:semiHidden/>
    <w:unhideWhenUsed/>
    <w:qFormat/>
    <w:pPr>
      <w:spacing w:line="276" w:lineRule="auto"/>
    </w:pPr>
    <w:rPr>
      <w:b/>
      <w:bCs/>
      <w:color w:val="4f81bd" w:themeColor="accent1"/>
      <w:sz w:val="18"/>
      <w:szCs w:val="18"/>
    </w:rPr>
  </w:style>
  <w:style w:type="character" w:styleId="46">
    <w:name w:val="Caption Char"/>
    <w:basedOn w:val="45"/>
    <w:link w:val="956"/>
    <w:uiPriority w:val="99"/>
  </w:style>
  <w:style w:type="table" w:styleId="48">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44"/>
    <w:uiPriority w:val="99"/>
    <w:unhideWhenUsed/>
    <w:rPr>
      <w:vertAlign w:val="superscript"/>
    </w:rPr>
  </w:style>
  <w:style w:type="paragraph" w:styleId="177">
    <w:name w:val="endnote text"/>
    <w:basedOn w:val="9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44"/>
    <w:uiPriority w:val="99"/>
    <w:semiHidden/>
    <w:unhideWhenUsed/>
    <w:rPr>
      <w:vertAlign w:val="superscript"/>
    </w:rPr>
  </w:style>
  <w:style w:type="paragraph" w:styleId="181">
    <w:name w:val="toc 2"/>
    <w:basedOn w:val="939"/>
    <w:next w:val="939"/>
    <w:uiPriority w:val="39"/>
    <w:unhideWhenUsed/>
    <w:pPr>
      <w:ind w:left="283" w:right="0" w:firstLine="0"/>
      <w:spacing w:after="57"/>
    </w:pPr>
  </w:style>
  <w:style w:type="paragraph" w:styleId="182">
    <w:name w:val="toc 3"/>
    <w:basedOn w:val="939"/>
    <w:next w:val="939"/>
    <w:uiPriority w:val="39"/>
    <w:unhideWhenUsed/>
    <w:pPr>
      <w:ind w:left="567" w:right="0" w:firstLine="0"/>
      <w:spacing w:after="57"/>
    </w:pPr>
  </w:style>
  <w:style w:type="paragraph" w:styleId="183">
    <w:name w:val="toc 4"/>
    <w:basedOn w:val="939"/>
    <w:next w:val="939"/>
    <w:uiPriority w:val="39"/>
    <w:unhideWhenUsed/>
    <w:pPr>
      <w:ind w:left="850" w:right="0" w:firstLine="0"/>
      <w:spacing w:after="57"/>
    </w:pPr>
  </w:style>
  <w:style w:type="paragraph" w:styleId="184">
    <w:name w:val="toc 5"/>
    <w:basedOn w:val="939"/>
    <w:next w:val="939"/>
    <w:uiPriority w:val="39"/>
    <w:unhideWhenUsed/>
    <w:pPr>
      <w:ind w:left="1134" w:right="0" w:firstLine="0"/>
      <w:spacing w:after="57"/>
    </w:pPr>
  </w:style>
  <w:style w:type="paragraph" w:styleId="185">
    <w:name w:val="toc 6"/>
    <w:basedOn w:val="939"/>
    <w:next w:val="939"/>
    <w:uiPriority w:val="39"/>
    <w:unhideWhenUsed/>
    <w:pPr>
      <w:ind w:left="1417" w:right="0" w:firstLine="0"/>
      <w:spacing w:after="57"/>
    </w:pPr>
  </w:style>
  <w:style w:type="paragraph" w:styleId="186">
    <w:name w:val="toc 7"/>
    <w:basedOn w:val="939"/>
    <w:next w:val="939"/>
    <w:uiPriority w:val="39"/>
    <w:unhideWhenUsed/>
    <w:pPr>
      <w:ind w:left="1701" w:right="0" w:firstLine="0"/>
      <w:spacing w:after="57"/>
    </w:pPr>
  </w:style>
  <w:style w:type="paragraph" w:styleId="187">
    <w:name w:val="toc 8"/>
    <w:basedOn w:val="939"/>
    <w:next w:val="939"/>
    <w:uiPriority w:val="39"/>
    <w:unhideWhenUsed/>
    <w:pPr>
      <w:ind w:left="1984" w:right="0" w:firstLine="0"/>
      <w:spacing w:after="57"/>
    </w:pPr>
  </w:style>
  <w:style w:type="paragraph" w:styleId="188">
    <w:name w:val="toc 9"/>
    <w:basedOn w:val="939"/>
    <w:next w:val="9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9"/>
    <w:next w:val="939"/>
    <w:uiPriority w:val="99"/>
    <w:unhideWhenUsed/>
    <w:pPr>
      <w:spacing w:after="0" w:afterAutospacing="0"/>
    </w:pPr>
  </w:style>
  <w:style w:type="paragraph" w:styleId="939" w:default="1">
    <w:name w:val="Normal"/>
    <w:next w:val="946"/>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40">
    <w:name w:val="Heading 1"/>
    <w:basedOn w:val="939"/>
    <w:next w:val="939"/>
    <w:link w:val="967"/>
    <w:uiPriority w:val="9"/>
    <w:qFormat/>
    <w:pPr>
      <w:jc w:val="center"/>
      <w:keepNext/>
      <w:tabs>
        <w:tab w:val="left" w:pos="200" w:leader="none"/>
      </w:tabs>
      <w:outlineLvl w:val="0"/>
    </w:pPr>
    <w:rPr>
      <w:rFonts w:ascii="宋体" w:hAnsi="宋体" w:eastAsia="黑体" w:cs="Times New Roman"/>
      <w:b/>
      <w:sz w:val="84"/>
      <w:szCs w:val="20"/>
    </w:rPr>
  </w:style>
  <w:style w:type="paragraph" w:styleId="941">
    <w:name w:val="Heading 2"/>
    <w:basedOn w:val="942"/>
    <w:next w:val="943"/>
    <w:link w:val="970"/>
    <w:uiPriority w:val="9"/>
    <w:qFormat/>
    <w:pPr>
      <w:jc w:val="center"/>
      <w:keepNext/>
      <w:outlineLvl w:val="1"/>
    </w:pPr>
    <w:rPr>
      <w:rFonts w:ascii="Times New Roman" w:hAnsi="Times New Roman" w:eastAsia="黑体" w:cs="Times New Roman"/>
      <w:sz w:val="44"/>
      <w:szCs w:val="28"/>
    </w:rPr>
  </w:style>
  <w:style w:type="paragraph" w:styleId="942">
    <w:name w:val="Heading 3"/>
    <w:basedOn w:val="939"/>
    <w:next w:val="939"/>
    <w:link w:val="968"/>
    <w:uiPriority w:val="9"/>
    <w:qFormat/>
    <w:pPr>
      <w:jc w:val="center"/>
      <w:keepLines/>
      <w:keepNext/>
      <w:outlineLvl w:val="2"/>
    </w:pPr>
    <w:rPr>
      <w:rFonts w:ascii="Times New Roman" w:hAnsi="Times New Roman" w:eastAsia="黑体" w:cs="Times New Roman"/>
      <w:szCs w:val="32"/>
    </w:rPr>
  </w:style>
  <w:style w:type="paragraph" w:styleId="943">
    <w:name w:val="Heading 4"/>
    <w:basedOn w:val="939"/>
    <w:next w:val="939"/>
    <w:uiPriority w:val="9"/>
    <w:qFormat/>
    <w:pPr>
      <w:keepLines/>
      <w:keepNext/>
      <w:spacing w:before="280" w:after="290" w:line="376" w:lineRule="auto"/>
      <w:outlineLvl w:val="3"/>
    </w:pPr>
    <w:rPr>
      <w:rFonts w:ascii="Cambria" w:hAnsi="Cambria" w:cs="Times New Roman"/>
      <w:b/>
      <w:bCs/>
      <w:sz w:val="28"/>
      <w:szCs w:val="28"/>
      <w:lang w:val="zh-CN"/>
    </w:rPr>
  </w:style>
  <w:style w:type="character" w:styleId="944" w:default="1">
    <w:name w:val="Default Paragraph Font"/>
    <w:uiPriority w:val="0"/>
    <w:semiHidden/>
    <w:qFormat/>
  </w:style>
  <w:style w:type="table" w:styleId="945"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6">
    <w:name w:val="Body Text"/>
    <w:basedOn w:val="939"/>
    <w:next w:val="947"/>
    <w:uiPriority w:val="0"/>
    <w:qFormat/>
    <w:rPr>
      <w:rFonts w:ascii="楷体_GB2312" w:hAnsi="Arial" w:eastAsia="楷体_GB2312" w:cs="Times New Roman"/>
      <w:sz w:val="28"/>
      <w:szCs w:val="20"/>
    </w:rPr>
  </w:style>
  <w:style w:type="paragraph" w:styleId="947">
    <w:name w:val="Title"/>
    <w:basedOn w:val="939"/>
    <w:next w:val="939"/>
    <w:uiPriority w:val="99"/>
    <w:qFormat/>
    <w:pPr>
      <w:jc w:val="center"/>
      <w:spacing w:before="240" w:after="60"/>
      <w:outlineLvl w:val="0"/>
    </w:pPr>
    <w:rPr>
      <w:rFonts w:ascii="Cambria" w:hAnsi="Cambria" w:eastAsia="宋体"/>
      <w:b/>
      <w:bCs/>
      <w:sz w:val="32"/>
      <w:szCs w:val="32"/>
    </w:rPr>
  </w:style>
  <w:style w:type="paragraph" w:styleId="948">
    <w:name w:val="table of authorities"/>
    <w:basedOn w:val="939"/>
    <w:next w:val="939"/>
    <w:uiPriority w:val="99"/>
    <w:qFormat/>
    <w:pPr>
      <w:ind w:left="420"/>
    </w:pPr>
    <w:rPr>
      <w:szCs w:val="20"/>
    </w:rPr>
  </w:style>
  <w:style w:type="paragraph" w:styleId="949">
    <w:name w:val="Normal Indent"/>
    <w:basedOn w:val="939"/>
    <w:next w:val="946"/>
    <w:uiPriority w:val="0"/>
    <w:qFormat/>
    <w:pPr>
      <w:ind w:firstLine="420"/>
    </w:pPr>
    <w:rPr>
      <w:rFonts w:ascii="Calibri" w:hAnsi="Calibri" w:cs="Times New Roman"/>
      <w:sz w:val="24"/>
      <w:szCs w:val="20"/>
    </w:rPr>
  </w:style>
  <w:style w:type="paragraph" w:styleId="950">
    <w:name w:val="annotation text"/>
    <w:basedOn w:val="939"/>
    <w:uiPriority w:val="99"/>
    <w:qFormat/>
    <w:pPr>
      <w:jc w:val="left"/>
      <w:spacing w:line="280" w:lineRule="atLeast"/>
      <w:widowControl/>
      <w:tabs>
        <w:tab w:val="left" w:pos="1134" w:leader="none"/>
      </w:tabs>
    </w:pPr>
    <w:rPr>
      <w:rFonts w:eastAsia="PMingLiU"/>
      <w:sz w:val="24"/>
      <w:szCs w:val="20"/>
      <w:lang w:eastAsia="zh-TW"/>
    </w:rPr>
  </w:style>
  <w:style w:type="paragraph" w:styleId="951">
    <w:name w:val="Body Text Indent"/>
    <w:basedOn w:val="939"/>
    <w:uiPriority w:val="99"/>
    <w:qFormat/>
    <w:pPr>
      <w:ind w:left="960"/>
      <w:spacing w:line="700" w:lineRule="exact"/>
    </w:pPr>
    <w:rPr>
      <w:sz w:val="44"/>
    </w:rPr>
  </w:style>
  <w:style w:type="paragraph" w:styleId="952">
    <w:name w:val="Block Text"/>
    <w:basedOn w:val="939"/>
    <w:uiPriority w:val="0"/>
    <w:qFormat/>
    <w:pPr>
      <w:ind w:left="1440" w:right="1440"/>
      <w:spacing w:after="120"/>
    </w:pPr>
  </w:style>
  <w:style w:type="paragraph" w:styleId="953">
    <w:name w:val="Plain Text"/>
    <w:basedOn w:val="939"/>
    <w:uiPriority w:val="0"/>
    <w:qFormat/>
    <w:rPr>
      <w:rFonts w:ascii="宋体" w:hAnsi="Courier New" w:cs="Times New Roman"/>
      <w:sz w:val="20"/>
      <w:szCs w:val="20"/>
    </w:rPr>
  </w:style>
  <w:style w:type="paragraph" w:styleId="954">
    <w:name w:val="Date"/>
    <w:basedOn w:val="939"/>
    <w:next w:val="939"/>
    <w:uiPriority w:val="0"/>
    <w:qFormat/>
    <w:rPr>
      <w:rFonts w:ascii="Times New Roman" w:hAnsi="Times New Roman"/>
      <w:szCs w:val="20"/>
    </w:rPr>
  </w:style>
  <w:style w:type="paragraph" w:styleId="955">
    <w:name w:val="Body Text Indent 2"/>
    <w:basedOn w:val="939"/>
    <w:uiPriority w:val="0"/>
    <w:qFormat/>
    <w:pPr>
      <w:ind w:firstLine="480"/>
      <w:spacing w:line="360" w:lineRule="exact"/>
    </w:pPr>
    <w:rPr>
      <w:rFonts w:ascii="宋体" w:hAnsi="宋体" w:cs="宋体"/>
      <w:sz w:val="24"/>
    </w:rPr>
  </w:style>
  <w:style w:type="paragraph" w:styleId="956">
    <w:name w:val="Footer"/>
    <w:basedOn w:val="939"/>
    <w:uiPriority w:val="0"/>
    <w:qFormat/>
    <w:pPr>
      <w:jc w:val="left"/>
      <w:tabs>
        <w:tab w:val="center" w:pos="4153" w:leader="none"/>
        <w:tab w:val="right" w:pos="8306" w:leader="none"/>
      </w:tabs>
    </w:pPr>
    <w:rPr>
      <w:rFonts w:ascii="Times New Roman" w:hAnsi="Times New Roman" w:cs="Times New Roman"/>
      <w:sz w:val="18"/>
      <w:szCs w:val="20"/>
    </w:rPr>
  </w:style>
  <w:style w:type="paragraph" w:styleId="957">
    <w:name w:val="Header"/>
    <w:basedOn w:val="9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58">
    <w:name w:val="toc 1"/>
    <w:basedOn w:val="939"/>
    <w:next w:val="939"/>
    <w:uiPriority w:val="0"/>
    <w:qFormat/>
    <w:pPr>
      <w:spacing w:line="300" w:lineRule="exact"/>
    </w:pPr>
    <w:rPr>
      <w:rFonts w:ascii="宋体" w:hAnsi="宋体"/>
      <w:szCs w:val="21"/>
    </w:rPr>
  </w:style>
  <w:style w:type="paragraph" w:styleId="959">
    <w:name w:val="Normal (Web)"/>
    <w:basedOn w:val="939"/>
    <w:uiPriority w:val="99"/>
    <w:unhideWhenUsed/>
    <w:qFormat/>
    <w:pPr>
      <w:jc w:val="left"/>
      <w:spacing w:before="100" w:beforeAutospacing="1" w:after="100" w:afterAutospacing="1"/>
      <w:widowControl/>
    </w:pPr>
    <w:rPr>
      <w:rFonts w:ascii="宋体" w:hAnsi="宋体"/>
      <w:sz w:val="24"/>
    </w:rPr>
  </w:style>
  <w:style w:type="paragraph" w:styleId="960">
    <w:name w:val="Body Text First Indent 2"/>
    <w:basedOn w:val="939"/>
    <w:next w:val="939"/>
    <w:uiPriority w:val="0"/>
    <w:qFormat/>
    <w:pPr>
      <w:ind w:left="420" w:firstLine="420"/>
      <w:spacing w:after="120" w:line="240" w:lineRule="auto"/>
    </w:pPr>
    <w:rPr>
      <w:sz w:val="21"/>
    </w:rPr>
  </w:style>
  <w:style w:type="table" w:styleId="961">
    <w:name w:val="Table Grid"/>
    <w:basedOn w:val="94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basedOn w:val="944"/>
    <w:uiPriority w:val="0"/>
    <w:qFormat/>
    <w:rPr>
      <w:b/>
    </w:rPr>
  </w:style>
  <w:style w:type="character" w:styleId="963">
    <w:name w:val="page number"/>
    <w:basedOn w:val="944"/>
    <w:uiPriority w:val="0"/>
    <w:qFormat/>
    <w:rPr>
      <w:rFonts w:ascii="Times New Roman" w:hAnsi="Times New Roman" w:eastAsia="宋体" w:cs="Times New Roman"/>
    </w:rPr>
  </w:style>
  <w:style w:type="character" w:styleId="964">
    <w:name w:val="FollowedHyperlink"/>
    <w:uiPriority w:val="0"/>
    <w:qFormat/>
    <w:rPr>
      <w:color w:val="333333"/>
      <w:u w:val="none"/>
    </w:rPr>
  </w:style>
  <w:style w:type="character" w:styleId="965">
    <w:name w:val="Emphasis"/>
    <w:uiPriority w:val="0"/>
    <w:qFormat/>
    <w:rPr>
      <w:i/>
    </w:rPr>
  </w:style>
  <w:style w:type="character" w:styleId="966">
    <w:name w:val="Hyperlink"/>
    <w:uiPriority w:val="99"/>
    <w:unhideWhenUsed/>
    <w:qFormat/>
    <w:rPr>
      <w:color w:val="333333"/>
      <w:u w:val="none"/>
    </w:rPr>
  </w:style>
  <w:style w:type="character" w:styleId="967" w:customStyle="1">
    <w:name w:val="标题 1 Char"/>
    <w:link w:val="940"/>
    <w:uiPriority w:val="9"/>
    <w:qFormat/>
    <w:rPr>
      <w:rFonts w:ascii="宋体" w:hAnsi="宋体" w:eastAsia="黑体" w:cs="Times New Roman"/>
      <w:b/>
      <w:sz w:val="84"/>
      <w:szCs w:val="20"/>
    </w:rPr>
  </w:style>
  <w:style w:type="character" w:styleId="968" w:customStyle="1">
    <w:name w:val="标题 3 Char"/>
    <w:link w:val="942"/>
    <w:uiPriority w:val="9"/>
    <w:qFormat/>
    <w:rPr>
      <w:rFonts w:ascii="Times New Roman" w:hAnsi="Times New Roman" w:eastAsia="黑体" w:cs="Times New Roman"/>
      <w:b/>
      <w:bCs/>
      <w:szCs w:val="32"/>
    </w:rPr>
  </w:style>
  <w:style w:type="paragraph" w:styleId="969" w:customStyle="1">
    <w:name w:val="正文文本11"/>
    <w:basedOn w:val="939"/>
    <w:next w:val="939"/>
    <w:uiPriority w:val="0"/>
    <w:qFormat/>
    <w:rPr>
      <w:rFonts w:ascii="楷体_GB2312" w:hAnsi="Arial" w:eastAsia="楷体_GB2312" w:cs="Times New Roman"/>
      <w:sz w:val="28"/>
      <w:szCs w:val="20"/>
    </w:rPr>
  </w:style>
  <w:style w:type="character" w:styleId="970" w:customStyle="1">
    <w:name w:val="标题 2 Char"/>
    <w:link w:val="941"/>
    <w:uiPriority w:val="9"/>
    <w:qFormat/>
    <w:rPr>
      <w:rFonts w:ascii="Times New Roman" w:hAnsi="Times New Roman" w:eastAsia="黑体" w:cs="Times New Roman"/>
      <w:b/>
      <w:bCs/>
      <w:sz w:val="44"/>
      <w:szCs w:val="28"/>
    </w:rPr>
  </w:style>
  <w:style w:type="character" w:styleId="971" w:customStyle="1">
    <w:name w:val="font11"/>
    <w:basedOn w:val="944"/>
    <w:uiPriority w:val="0"/>
    <w:qFormat/>
    <w:rPr>
      <w:rFonts w:hint="eastAsia" w:ascii="宋体" w:hAnsi="宋体" w:eastAsia="宋体" w:cs="宋体"/>
      <w:color w:val="000000"/>
      <w:sz w:val="18"/>
      <w:szCs w:val="18"/>
      <w:u w:val="none"/>
    </w:rPr>
  </w:style>
  <w:style w:type="character" w:styleId="972" w:customStyle="1">
    <w:name w:val="l-btn-left"/>
    <w:basedOn w:val="944"/>
    <w:uiPriority w:val="0"/>
    <w:qFormat/>
  </w:style>
  <w:style w:type="character" w:styleId="973" w:customStyle="1">
    <w:name w:val="font71"/>
    <w:uiPriority w:val="0"/>
    <w:qFormat/>
    <w:rPr>
      <w:rFonts w:hint="eastAsia" w:ascii="宋体" w:hAnsi="宋体" w:eastAsia="宋体" w:cs="宋体"/>
      <w:color w:val="000000"/>
      <w:sz w:val="22"/>
      <w:szCs w:val="22"/>
      <w:u w:val="none"/>
    </w:rPr>
  </w:style>
  <w:style w:type="character" w:styleId="974" w:customStyle="1">
    <w:name w:val="font21"/>
    <w:basedOn w:val="944"/>
    <w:uiPriority w:val="0"/>
    <w:qFormat/>
    <w:rPr>
      <w:rFonts w:hint="eastAsia" w:ascii="宋体" w:hAnsi="宋体" w:eastAsia="宋体" w:cs="宋体"/>
      <w:color w:val="000000"/>
      <w:sz w:val="18"/>
      <w:szCs w:val="18"/>
      <w:u w:val="none"/>
    </w:rPr>
  </w:style>
  <w:style w:type="character" w:styleId="975" w:customStyle="1">
    <w:name w:val="font41"/>
    <w:uiPriority w:val="0"/>
    <w:qFormat/>
    <w:rPr>
      <w:rFonts w:hint="eastAsia" w:ascii="宋体" w:hAnsi="宋体" w:eastAsia="宋体" w:cs="宋体"/>
      <w:b/>
      <w:color w:val="000000"/>
      <w:sz w:val="24"/>
      <w:szCs w:val="24"/>
      <w:u w:val="none"/>
    </w:rPr>
  </w:style>
  <w:style w:type="character" w:styleId="976" w:customStyle="1">
    <w:name w:val="current"/>
    <w:basedOn w:val="944"/>
    <w:uiPriority w:val="0"/>
    <w:qFormat/>
    <w:rPr>
      <w:b/>
      <w:color w:val="05a7d8"/>
      <w:sz w:val="14"/>
      <w:szCs w:val="14"/>
    </w:rPr>
  </w:style>
  <w:style w:type="character" w:styleId="977" w:customStyle="1">
    <w:name w:val="l-btn-text36"/>
    <w:basedOn w:val="944"/>
    <w:uiPriority w:val="0"/>
    <w:qFormat/>
  </w:style>
  <w:style w:type="character" w:styleId="978" w:customStyle="1">
    <w:name w:val="tree-title3"/>
    <w:basedOn w:val="944"/>
    <w:uiPriority w:val="0"/>
    <w:qFormat/>
  </w:style>
  <w:style w:type="character" w:styleId="979" w:customStyle="1">
    <w:name w:val="font31"/>
    <w:basedOn w:val="944"/>
    <w:uiPriority w:val="0"/>
    <w:qFormat/>
    <w:rPr>
      <w:rFonts w:hint="default" w:ascii="Arial Narrow" w:hAnsi="Arial Narrow" w:eastAsia="Arial Narrow" w:cs="Arial Narrow"/>
      <w:color w:val="000000"/>
      <w:sz w:val="18"/>
      <w:szCs w:val="18"/>
      <w:u w:val="none"/>
    </w:rPr>
  </w:style>
  <w:style w:type="paragraph" w:styleId="980" w:customStyle="1">
    <w:name w:val="正文字缩2字"/>
    <w:basedOn w:val="939"/>
    <w:uiPriority w:val="0"/>
    <w:qFormat/>
    <w:pPr>
      <w:ind w:left="200" w:firstLine="200"/>
      <w:jc w:val="both"/>
      <w:spacing w:before="60" w:after="60" w:line="360" w:lineRule="auto"/>
    </w:pPr>
    <w:rPr>
      <w:szCs w:val="24"/>
    </w:rPr>
  </w:style>
  <w:style w:type="paragraph" w:styleId="981">
    <w:name w:val="List Paragraph"/>
    <w:basedOn w:val="939"/>
    <w:uiPriority w:val="99"/>
    <w:qFormat/>
    <w:pPr>
      <w:ind w:firstLine="420"/>
    </w:pPr>
    <w:rPr>
      <w:rFonts w:ascii="Calibri" w:hAnsi="Calibri" w:cs="Times New Roman"/>
      <w:sz w:val="21"/>
      <w:szCs w:val="22"/>
    </w:rPr>
  </w:style>
  <w:style w:type="paragraph" w:styleId="982"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983" w:customStyle="1">
    <w:name w:val="图例"/>
    <w:basedOn w:val="939"/>
    <w:uiPriority w:val="0"/>
    <w:qFormat/>
    <w:pPr>
      <w:jc w:val="center"/>
      <w:spacing w:before="120" w:after="120" w:line="360" w:lineRule="auto"/>
    </w:pPr>
    <w:rPr>
      <w:rFonts w:eastAsia="仿宋_GB2312"/>
      <w:b/>
      <w:sz w:val="24"/>
      <w:szCs w:val="20"/>
    </w:rPr>
  </w:style>
  <w:style w:type="paragraph" w:styleId="984" w:customStyle="1">
    <w:name w:val="样式 标题 4 + 段前: 5 磅 段后: 5 磅 行距: 单倍行距"/>
    <w:basedOn w:val="943"/>
    <w:uiPriority w:val="0"/>
    <w:qFormat/>
    <w:pPr>
      <w:spacing w:before="100" w:after="100" w:line="240" w:lineRule="auto"/>
    </w:pPr>
    <w:rPr>
      <w:rFonts w:cs="宋体"/>
      <w:szCs w:val="20"/>
    </w:rPr>
  </w:style>
  <w:style w:type="paragraph" w:styleId="985"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86" w:customStyle="1">
    <w:name w:val="纯文本1"/>
    <w:basedOn w:val="939"/>
    <w:uiPriority w:val="0"/>
    <w:qFormat/>
    <w:rPr>
      <w:rFonts w:ascii="宋体" w:hAnsi="Courier New" w:eastAsia="楷体_GB2312"/>
      <w:sz w:val="26"/>
    </w:rPr>
  </w:style>
  <w:style w:type="paragraph" w:styleId="987" w:customStyle="1">
    <w:name w:val="WPSOffice手动目录 1"/>
    <w:uiPriority w:val="0"/>
    <w:qFormat/>
    <w:rPr>
      <w:rFonts w:ascii="Times New Roman" w:hAnsi="Times New Roman" w:eastAsia="宋体" w:cs="Times New Roman"/>
      <w:sz w:val="20"/>
      <w:szCs w:val="20"/>
    </w:rPr>
  </w:style>
  <w:style w:type="paragraph" w:styleId="988" w:customStyle="1">
    <w:name w:val="Í¼±íÕýÎÄ"/>
    <w:basedOn w:val="939"/>
    <w:next w:val="949"/>
    <w:uiPriority w:val="0"/>
    <w:qFormat/>
    <w:pPr>
      <w:ind w:firstLine="420"/>
    </w:pPr>
    <w:rPr>
      <w:rFonts w:ascii="Times New Roman" w:hAnsi="Times New Roman" w:cs="Times New Roman"/>
      <w:sz w:val="24"/>
      <w:szCs w:val="20"/>
    </w:rPr>
  </w:style>
  <w:style w:type="paragraph" w:styleId="989" w:customStyle="1">
    <w:name w:val="Plain Text"/>
    <w:basedOn w:val="939"/>
    <w:uiPriority w:val="0"/>
    <w:qFormat/>
    <w:rPr>
      <w:rFonts w:ascii="宋体" w:hAnsi="Courier New" w:eastAsia="楷体_GB2312" w:cs="Times New Roman"/>
      <w:sz w:val="28"/>
      <w:szCs w:val="20"/>
    </w:rPr>
  </w:style>
  <w:style w:type="paragraph" w:styleId="990" w:customStyle="1">
    <w:name w:val="TOC Heading1"/>
    <w:basedOn w:val="940"/>
    <w:next w:val="939"/>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991" w:customStyle="1">
    <w:name w:val="表格标题"/>
    <w:basedOn w:val="939"/>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992" w:customStyle="1">
    <w:name w:val="Í¼¡À¡¡¡¡ì¬ªÕýÎÄ"/>
    <w:basedOn w:val="939"/>
    <w:next w:val="949"/>
    <w:uiPriority w:val="99"/>
    <w:qFormat/>
    <w:pPr>
      <w:ind w:firstLine="420"/>
    </w:pPr>
    <w:rPr>
      <w:rFonts w:ascii="Times New Roman" w:hAnsi="Times New Roman" w:cs="Times New Roman"/>
      <w:sz w:val="24"/>
      <w:szCs w:val="20"/>
    </w:rPr>
  </w:style>
  <w:style w:type="paragraph" w:styleId="993" w:customStyle="1">
    <w:name w:val="目录 11"/>
    <w:basedOn w:val="939"/>
    <w:next w:val="939"/>
    <w:uiPriority w:val="39"/>
    <w:unhideWhenUsed/>
    <w:qFormat/>
    <w:pPr>
      <w:jc w:val="left"/>
      <w:spacing w:after="100" w:line="259" w:lineRule="auto"/>
      <w:widowControl/>
    </w:pPr>
    <w:rPr>
      <w:rFonts w:ascii="Calibri" w:hAnsi="Calibri" w:eastAsia="宋体"/>
      <w:sz w:val="22"/>
      <w:szCs w:val="22"/>
    </w:rPr>
  </w:style>
  <w:style w:type="paragraph" w:styleId="994" w:customStyle="1">
    <w:name w:val="列出段落1"/>
    <w:basedOn w:val="939"/>
    <w:uiPriority w:val="0"/>
    <w:qFormat/>
    <w:pPr>
      <w:ind w:firstLine="420"/>
    </w:pPr>
    <w:rPr>
      <w:color w:val="595959"/>
    </w:rPr>
  </w:style>
  <w:style w:type="paragraph" w:styleId="995" w:customStyle="1">
    <w:name w:val=" Char1"/>
    <w:basedOn w:val="939"/>
    <w:uiPriority w:val="0"/>
    <w:qFormat/>
    <w:pPr>
      <w:ind w:left="432" w:hanging="432"/>
      <w:tabs>
        <w:tab w:val="left" w:pos="432" w:leader="none"/>
      </w:tabs>
    </w:pPr>
    <w:rPr>
      <w:rFonts w:ascii="仿宋_GB2312" w:hAnsi="Tahoma" w:eastAsia="仿宋_GB2312"/>
      <w:color w:val="000000"/>
      <w:sz w:val="30"/>
      <w:szCs w:val="30"/>
    </w:rPr>
  </w:style>
  <w:style w:type="paragraph" w:styleId="996" w:customStyle="1">
    <w:name w:val="样式1"/>
    <w:basedOn w:val="939"/>
    <w:uiPriority w:val="0"/>
    <w:qFormat/>
    <w:pPr>
      <w:numPr>
        <w:ilvl w:val="0"/>
        <w:numId w:val="1"/>
      </w:numPr>
      <w:jc w:val="both"/>
      <w:spacing w:line="240" w:lineRule="auto"/>
    </w:pPr>
    <w:rPr>
      <w:rFonts w:ascii="宋体" w:hAnsi="宋体"/>
      <w:sz w:val="21"/>
      <w:szCs w:val="21"/>
    </w:rPr>
  </w:style>
  <w:style w:type="paragraph" w:styleId="997" w:customStyle="1">
    <w:name w:val="Í¼¡À¡¡¡¡¡¡¨¬¬¬ªÕýÎÄ"/>
    <w:basedOn w:val="939"/>
    <w:next w:val="949"/>
    <w:uiPriority w:val="99"/>
    <w:qFormat/>
    <w:pPr>
      <w:ind w:firstLine="420"/>
    </w:pPr>
    <w:rPr>
      <w:rFonts w:ascii="Times New Roman" w:hAnsi="Times New Roman"/>
      <w:sz w:val="24"/>
      <w:szCs w:val="20"/>
    </w:rPr>
  </w:style>
  <w:style w:type="paragraph" w:styleId="998" w:customStyle="1">
    <w:name w:val="段标题"/>
    <w:basedOn w:val="939"/>
    <w:next w:val="949"/>
    <w:uiPriority w:val="0"/>
    <w:qFormat/>
    <w:pPr>
      <w:jc w:val="left"/>
    </w:pPr>
    <w:rPr>
      <w:rFonts w:ascii="黑体" w:hAnsi="宋体" w:eastAsia="黑体"/>
    </w:rPr>
  </w:style>
  <w:style w:type="paragraph" w:styleId="999" w:customStyle="1">
    <w:name w:val="样式 标题 1 + 宋体 居中 段前: 17 磅 段后: 16.5 磅"/>
    <w:basedOn w:val="940"/>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000" w:customStyle="1">
    <w:name w:val="列出段落2"/>
    <w:basedOn w:val="939"/>
    <w:uiPriority w:val="0"/>
    <w:qFormat/>
    <w:pPr>
      <w:ind w:firstLine="420"/>
    </w:pPr>
  </w:style>
  <w:style w:type="table" w:styleId="1001" w:customStyle="1">
    <w:name w:val="网格型1"/>
    <w:basedOn w:val="945"/>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2">
    <w:name w:val="Quote"/>
    <w:next w:val="939"/>
    <w:uiPriority w:val="0"/>
    <w:qFormat/>
    <w:pPr>
      <w:ind w:left="864" w:right="864"/>
      <w:jc w:val="center"/>
      <w:spacing w:before="200" w:after="160"/>
    </w:pPr>
    <w:rPr>
      <w:rFonts w:ascii="Calibri" w:hAnsi="Calibri" w:eastAsia="宋体" w:cs="Times New Roman"/>
      <w:i/>
      <w:sz w:val="21"/>
      <w:lang w:val="en-US" w:eastAsia="zh-CN" w:bidi="ar-SA"/>
    </w:rPr>
  </w:style>
  <w:style w:type="paragraph" w:styleId="1003" w:customStyle="1">
    <w:name w:val="普通(网站)11"/>
    <w:basedOn w:val="939"/>
    <w:uiPriority w:val="99"/>
    <w:unhideWhenUsed/>
    <w:qFormat/>
    <w:pPr>
      <w:jc w:val="left"/>
      <w:spacing w:before="100" w:beforeAutospacing="1" w:after="100" w:afterAutospacing="1"/>
      <w:widowControl/>
    </w:pPr>
    <w:rPr>
      <w:rFonts w:ascii="宋体" w:hAnsi="宋体"/>
      <w:sz w:val="24"/>
    </w:rPr>
  </w:style>
  <w:style w:type="numbering" w:styleId="9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2026-06-29T02:01:57Z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